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2BDA5" w14:textId="4C269EF2" w:rsidR="00134F97" w:rsidRPr="00902209" w:rsidRDefault="00902209" w:rsidP="00FF1AD3">
      <w:pPr>
        <w:pStyle w:val="Default"/>
        <w:jc w:val="center"/>
        <w:rPr>
          <w:rFonts w:cs="Times New Roman"/>
          <w:b/>
          <w:bCs/>
          <w:sz w:val="28"/>
          <w:szCs w:val="28"/>
        </w:rPr>
      </w:pPr>
      <w:r>
        <w:rPr>
          <w:rFonts w:cs="Times New Roman"/>
          <w:b/>
          <w:bCs/>
          <w:sz w:val="28"/>
          <w:szCs w:val="28"/>
        </w:rPr>
        <w:t xml:space="preserve">Mapping Disinformation During the </w:t>
      </w:r>
      <w:r w:rsidR="00172A50">
        <w:rPr>
          <w:rFonts w:cs="Times New Roman"/>
          <w:b/>
          <w:bCs/>
          <w:sz w:val="28"/>
          <w:szCs w:val="28"/>
        </w:rPr>
        <w:t>Covid-19</w:t>
      </w:r>
      <w:r>
        <w:rPr>
          <w:rFonts w:cs="Times New Roman"/>
          <w:b/>
          <w:bCs/>
          <w:sz w:val="28"/>
          <w:szCs w:val="28"/>
        </w:rPr>
        <w:t xml:space="preserve"> Pandemic in Indonesia: A Qualitative Content Analysis</w:t>
      </w:r>
    </w:p>
    <w:p w14:paraId="08D21898" w14:textId="77777777" w:rsidR="00FF1AD3" w:rsidRPr="00134F97" w:rsidRDefault="00FF1AD3" w:rsidP="00FF1AD3">
      <w:pPr>
        <w:pStyle w:val="Default"/>
        <w:jc w:val="center"/>
        <w:rPr>
          <w:rFonts w:cs="Times New Roman"/>
          <w:b/>
          <w:bCs/>
          <w:sz w:val="28"/>
          <w:szCs w:val="28"/>
        </w:rPr>
      </w:pPr>
      <w:r w:rsidRPr="00134F97">
        <w:rPr>
          <w:rFonts w:cs="Times New Roman"/>
          <w:b/>
          <w:bCs/>
          <w:sz w:val="28"/>
          <w:szCs w:val="28"/>
        </w:rPr>
        <w:t>(</w:t>
      </w:r>
      <w:r w:rsidRPr="00134F97">
        <w:rPr>
          <w:rFonts w:cs="Times New Roman"/>
          <w:b/>
          <w:bCs/>
          <w:sz w:val="28"/>
          <w:szCs w:val="28"/>
          <w:lang w:val="id-ID"/>
        </w:rPr>
        <w:t>in</w:t>
      </w:r>
      <w:r w:rsidRPr="00134F97">
        <w:rPr>
          <w:rFonts w:cs="Times New Roman"/>
          <w:b/>
          <w:bCs/>
          <w:sz w:val="28"/>
          <w:szCs w:val="28"/>
        </w:rPr>
        <w:t xml:space="preserve"> </w:t>
      </w:r>
      <w:r w:rsidRPr="00134F97">
        <w:rPr>
          <w:rFonts w:cs="Times New Roman"/>
          <w:b/>
          <w:bCs/>
          <w:sz w:val="28"/>
          <w:szCs w:val="28"/>
          <w:lang w:val="id-ID"/>
        </w:rPr>
        <w:t>English</w:t>
      </w:r>
      <w:r w:rsidRPr="00134F97">
        <w:rPr>
          <w:rFonts w:cs="Times New Roman"/>
          <w:b/>
          <w:bCs/>
          <w:sz w:val="28"/>
          <w:szCs w:val="28"/>
        </w:rPr>
        <w:t>)</w:t>
      </w:r>
    </w:p>
    <w:p w14:paraId="7F0634CA" w14:textId="77777777" w:rsidR="00FF1AD3" w:rsidRPr="00FF1AD3" w:rsidRDefault="00FF1AD3" w:rsidP="00FF1AD3">
      <w:pPr>
        <w:pStyle w:val="Default"/>
        <w:jc w:val="center"/>
        <w:rPr>
          <w:rFonts w:cs="Times New Roman"/>
          <w:b/>
          <w:bCs/>
          <w:lang w:val="id-ID"/>
        </w:rPr>
      </w:pPr>
    </w:p>
    <w:p w14:paraId="7561DD1F" w14:textId="74951CCD" w:rsidR="00902209" w:rsidRDefault="00902209" w:rsidP="00FF1AD3">
      <w:pPr>
        <w:pStyle w:val="Default"/>
        <w:jc w:val="center"/>
        <w:rPr>
          <w:rFonts w:cs="Times New Roman"/>
          <w:b/>
          <w:bCs/>
          <w:sz w:val="28"/>
          <w:szCs w:val="28"/>
          <w:lang w:val="id-ID"/>
        </w:rPr>
      </w:pPr>
      <w:r w:rsidRPr="00902209">
        <w:rPr>
          <w:rFonts w:cs="Times New Roman"/>
          <w:b/>
          <w:bCs/>
          <w:sz w:val="28"/>
          <w:szCs w:val="28"/>
          <w:lang w:val="id-ID"/>
        </w:rPr>
        <w:t xml:space="preserve">Pemetaan Disinformasi Selama Pandemi </w:t>
      </w:r>
      <w:r w:rsidR="00172A50">
        <w:rPr>
          <w:rFonts w:cs="Times New Roman"/>
          <w:b/>
          <w:bCs/>
          <w:sz w:val="28"/>
          <w:szCs w:val="28"/>
          <w:lang w:val="id-ID"/>
        </w:rPr>
        <w:t>Covid-19</w:t>
      </w:r>
      <w:r w:rsidRPr="00902209">
        <w:rPr>
          <w:rFonts w:cs="Times New Roman"/>
          <w:b/>
          <w:bCs/>
          <w:sz w:val="28"/>
          <w:szCs w:val="28"/>
          <w:lang w:val="id-ID"/>
        </w:rPr>
        <w:t xml:space="preserve"> di Indonesia: Analisis Isi Kualitatif </w:t>
      </w:r>
    </w:p>
    <w:p w14:paraId="01A159B9" w14:textId="3B6A3AE3" w:rsidR="00FF1AD3" w:rsidRPr="00134F97" w:rsidRDefault="00FF1AD3" w:rsidP="00FF1AD3">
      <w:pPr>
        <w:pStyle w:val="Default"/>
        <w:jc w:val="center"/>
        <w:rPr>
          <w:rFonts w:cs="Times New Roman"/>
          <w:b/>
          <w:bCs/>
          <w:sz w:val="28"/>
          <w:szCs w:val="28"/>
        </w:rPr>
      </w:pPr>
      <w:r w:rsidRPr="00134F97">
        <w:rPr>
          <w:rFonts w:cs="Times New Roman"/>
          <w:b/>
          <w:bCs/>
          <w:sz w:val="28"/>
          <w:szCs w:val="28"/>
        </w:rPr>
        <w:t>(</w:t>
      </w:r>
      <w:r w:rsidRPr="00134F97">
        <w:rPr>
          <w:rFonts w:cs="Times New Roman"/>
          <w:b/>
          <w:bCs/>
          <w:sz w:val="28"/>
          <w:szCs w:val="28"/>
          <w:lang w:val="id-ID"/>
        </w:rPr>
        <w:t>in</w:t>
      </w:r>
      <w:r w:rsidRPr="00134F97">
        <w:rPr>
          <w:rFonts w:cs="Times New Roman"/>
          <w:b/>
          <w:bCs/>
          <w:sz w:val="28"/>
          <w:szCs w:val="28"/>
        </w:rPr>
        <w:t xml:space="preserve"> </w:t>
      </w:r>
      <w:r w:rsidR="00134F97">
        <w:rPr>
          <w:rFonts w:cs="Times New Roman"/>
          <w:b/>
          <w:bCs/>
          <w:sz w:val="28"/>
          <w:szCs w:val="28"/>
        </w:rPr>
        <w:t>Bahasa</w:t>
      </w:r>
      <w:r w:rsidRPr="00134F97">
        <w:rPr>
          <w:rFonts w:cs="Times New Roman"/>
          <w:b/>
          <w:bCs/>
          <w:sz w:val="28"/>
          <w:szCs w:val="28"/>
        </w:rPr>
        <w:t>)</w:t>
      </w:r>
    </w:p>
    <w:p w14:paraId="482DB222" w14:textId="77777777" w:rsidR="00E8432C" w:rsidRDefault="00E8432C" w:rsidP="00FF1AD3">
      <w:pPr>
        <w:pStyle w:val="Title"/>
        <w:rPr>
          <w:b w:val="0"/>
          <w:sz w:val="24"/>
        </w:rPr>
      </w:pPr>
    </w:p>
    <w:p w14:paraId="1C179915" w14:textId="42AA2E03" w:rsidR="00E8432C" w:rsidRPr="00902209" w:rsidRDefault="00902209" w:rsidP="00E8432C">
      <w:pPr>
        <w:pStyle w:val="Default"/>
        <w:jc w:val="center"/>
        <w:rPr>
          <w:rFonts w:cs="Times New Roman"/>
        </w:rPr>
      </w:pPr>
      <w:r>
        <w:rPr>
          <w:rFonts w:cs="Times New Roman"/>
          <w:b/>
          <w:bCs/>
        </w:rPr>
        <w:t>Devie Rahmawati</w:t>
      </w:r>
      <w:r w:rsidR="00E8432C" w:rsidRPr="00E8432C">
        <w:rPr>
          <w:rFonts w:cs="Times New Roman"/>
          <w:b/>
          <w:bCs/>
          <w:vertAlign w:val="superscript"/>
          <w:lang w:val="id-ID"/>
        </w:rPr>
        <w:t>1</w:t>
      </w:r>
      <w:r w:rsidR="00E8432C">
        <w:rPr>
          <w:rFonts w:cs="Times New Roman"/>
          <w:b/>
          <w:bCs/>
        </w:rPr>
        <w:t xml:space="preserve">, </w:t>
      </w:r>
      <w:r>
        <w:rPr>
          <w:rFonts w:cs="Times New Roman"/>
          <w:b/>
          <w:bCs/>
        </w:rPr>
        <w:t>Deddy Mulyana</w:t>
      </w:r>
      <w:r w:rsidR="00E8432C" w:rsidRPr="00E8432C">
        <w:rPr>
          <w:rFonts w:cs="Times New Roman"/>
          <w:b/>
          <w:bCs/>
          <w:vertAlign w:val="superscript"/>
          <w:lang w:val="id-ID"/>
        </w:rPr>
        <w:t>2</w:t>
      </w:r>
      <w:r w:rsidR="00E8432C">
        <w:rPr>
          <w:rFonts w:cs="Times New Roman"/>
          <w:b/>
          <w:bCs/>
        </w:rPr>
        <w:t xml:space="preserve">, </w:t>
      </w:r>
      <w:r>
        <w:rPr>
          <w:rFonts w:cs="Times New Roman"/>
          <w:b/>
          <w:bCs/>
        </w:rPr>
        <w:t>Giri Lumakto</w:t>
      </w:r>
      <w:r>
        <w:rPr>
          <w:rFonts w:cs="Times New Roman"/>
          <w:b/>
          <w:bCs/>
          <w:vertAlign w:val="superscript"/>
        </w:rPr>
        <w:t>3</w:t>
      </w:r>
      <w:r>
        <w:rPr>
          <w:rFonts w:cs="Times New Roman"/>
          <w:b/>
          <w:bCs/>
        </w:rPr>
        <w:t>, Mila Viendyasari</w:t>
      </w:r>
      <w:r>
        <w:rPr>
          <w:rFonts w:cs="Times New Roman"/>
          <w:b/>
          <w:bCs/>
          <w:vertAlign w:val="superscript"/>
        </w:rPr>
        <w:t>4</w:t>
      </w:r>
      <w:r>
        <w:rPr>
          <w:rFonts w:cs="Times New Roman"/>
          <w:b/>
          <w:bCs/>
        </w:rPr>
        <w:t>, Wiratri Anindhita</w:t>
      </w:r>
      <w:r>
        <w:rPr>
          <w:rFonts w:cs="Times New Roman"/>
          <w:b/>
          <w:bCs/>
          <w:vertAlign w:val="superscript"/>
        </w:rPr>
        <w:t>5</w:t>
      </w:r>
    </w:p>
    <w:p w14:paraId="778966B4" w14:textId="77777777" w:rsidR="00902209" w:rsidRDefault="00902209" w:rsidP="00E8432C">
      <w:pPr>
        <w:jc w:val="center"/>
        <w:rPr>
          <w:sz w:val="24"/>
          <w:szCs w:val="24"/>
          <w:vertAlign w:val="superscript"/>
          <w:lang w:val="id-ID"/>
        </w:rPr>
      </w:pPr>
    </w:p>
    <w:p w14:paraId="6FD1C1F2" w14:textId="65B308CC" w:rsidR="00E8432C" w:rsidRPr="00902209" w:rsidRDefault="00E8432C" w:rsidP="00E8432C">
      <w:pPr>
        <w:jc w:val="center"/>
        <w:rPr>
          <w:sz w:val="24"/>
          <w:szCs w:val="24"/>
        </w:rPr>
      </w:pPr>
      <w:r w:rsidRPr="00E8432C">
        <w:rPr>
          <w:sz w:val="24"/>
          <w:szCs w:val="24"/>
          <w:vertAlign w:val="superscript"/>
          <w:lang w:val="id-ID"/>
        </w:rPr>
        <w:t>1</w:t>
      </w:r>
      <w:r w:rsidR="00902209">
        <w:rPr>
          <w:sz w:val="24"/>
          <w:szCs w:val="24"/>
          <w:vertAlign w:val="superscript"/>
        </w:rPr>
        <w:t>,3,4</w:t>
      </w:r>
      <w:r w:rsidR="00902209">
        <w:rPr>
          <w:sz w:val="24"/>
          <w:szCs w:val="24"/>
        </w:rPr>
        <w:t>Universitas Indonesia, Depok</w:t>
      </w:r>
    </w:p>
    <w:p w14:paraId="5D0A5B32" w14:textId="27088747" w:rsidR="00D2102B" w:rsidRDefault="00D2102B" w:rsidP="00E8432C">
      <w:pPr>
        <w:jc w:val="center"/>
        <w:rPr>
          <w:sz w:val="24"/>
          <w:szCs w:val="24"/>
        </w:rPr>
      </w:pPr>
      <w:r w:rsidRPr="00D2102B">
        <w:rPr>
          <w:sz w:val="24"/>
          <w:szCs w:val="24"/>
          <w:vertAlign w:val="superscript"/>
          <w:lang w:val="id-ID"/>
        </w:rPr>
        <w:t>2</w:t>
      </w:r>
      <w:r w:rsidR="00902209">
        <w:rPr>
          <w:sz w:val="24"/>
          <w:szCs w:val="24"/>
        </w:rPr>
        <w:t>Universitas Padjajaran, Bandung</w:t>
      </w:r>
    </w:p>
    <w:p w14:paraId="7A89E835" w14:textId="6CDE4E45" w:rsidR="00902209" w:rsidRPr="00902209" w:rsidRDefault="00902209" w:rsidP="00902209">
      <w:pPr>
        <w:jc w:val="center"/>
        <w:rPr>
          <w:sz w:val="24"/>
          <w:szCs w:val="24"/>
        </w:rPr>
      </w:pPr>
      <w:r>
        <w:rPr>
          <w:sz w:val="24"/>
          <w:szCs w:val="24"/>
          <w:vertAlign w:val="superscript"/>
        </w:rPr>
        <w:t>5</w:t>
      </w:r>
      <w:r>
        <w:rPr>
          <w:sz w:val="24"/>
          <w:szCs w:val="24"/>
        </w:rPr>
        <w:t>Universitas Negeri Jakarta, Jakarta</w:t>
      </w:r>
    </w:p>
    <w:p w14:paraId="10554612" w14:textId="74DC621B" w:rsidR="00064330" w:rsidRDefault="00D2102B" w:rsidP="00E8432C">
      <w:pPr>
        <w:pStyle w:val="Default"/>
        <w:jc w:val="center"/>
        <w:rPr>
          <w:rFonts w:cs="Times New Roman"/>
        </w:rPr>
      </w:pPr>
      <w:r>
        <w:rPr>
          <w:rFonts w:cs="Times New Roman"/>
          <w:lang w:val="id-ID"/>
        </w:rPr>
        <w:t xml:space="preserve">*Corresponding author, </w:t>
      </w:r>
      <w:r w:rsidR="00E8432C" w:rsidRPr="00E8432C">
        <w:rPr>
          <w:rFonts w:cs="Times New Roman"/>
          <w:lang w:val="id-ID"/>
        </w:rPr>
        <w:t>e</w:t>
      </w:r>
      <w:r w:rsidR="00E8432C" w:rsidRPr="00E8432C">
        <w:rPr>
          <w:rFonts w:cs="Times New Roman"/>
        </w:rPr>
        <w:t>-</w:t>
      </w:r>
      <w:r w:rsidR="00E8432C" w:rsidRPr="00E8432C">
        <w:rPr>
          <w:rFonts w:cs="Times New Roman"/>
          <w:lang w:val="id-ID"/>
        </w:rPr>
        <w:t>mail</w:t>
      </w:r>
      <w:r>
        <w:rPr>
          <w:rFonts w:cs="Times New Roman"/>
        </w:rPr>
        <w:t xml:space="preserve">: </w:t>
      </w:r>
      <w:hyperlink r:id="rId8" w:history="1">
        <w:r w:rsidR="00902209" w:rsidRPr="00E6796E">
          <w:rPr>
            <w:rStyle w:val="Hyperlink"/>
            <w:rFonts w:cs="Times New Roman"/>
          </w:rPr>
          <w:t>devie.r@ui.ac.id</w:t>
        </w:r>
      </w:hyperlink>
    </w:p>
    <w:p w14:paraId="75A2E1CA" w14:textId="77777777" w:rsidR="00902209" w:rsidRDefault="00902209" w:rsidP="00E8432C">
      <w:pPr>
        <w:pStyle w:val="Default"/>
        <w:jc w:val="center"/>
        <w:rPr>
          <w:rFonts w:cs="Times New Roman"/>
          <w:lang w:val="id-ID"/>
        </w:rPr>
      </w:pPr>
    </w:p>
    <w:p w14:paraId="326DD152" w14:textId="77777777" w:rsidR="00064330" w:rsidRPr="001609F8" w:rsidRDefault="00064330" w:rsidP="00064330">
      <w:pPr>
        <w:pStyle w:val="Default"/>
        <w:jc w:val="center"/>
        <w:rPr>
          <w:rFonts w:cs="Times New Roman"/>
          <w:i/>
        </w:rPr>
      </w:pPr>
      <w:r w:rsidRPr="001609F8">
        <w:rPr>
          <w:rFonts w:cs="Times New Roman"/>
          <w:b/>
          <w:bCs/>
          <w:i/>
        </w:rPr>
        <w:t>Abstract</w:t>
      </w:r>
    </w:p>
    <w:p w14:paraId="3A03F3C8" w14:textId="11C91E58" w:rsidR="00064330" w:rsidRPr="00902209" w:rsidRDefault="00064330" w:rsidP="00902209">
      <w:pPr>
        <w:jc w:val="both"/>
        <w:rPr>
          <w:i/>
          <w:color w:val="000000" w:themeColor="text1"/>
          <w:sz w:val="22"/>
          <w:szCs w:val="22"/>
        </w:rPr>
      </w:pPr>
      <w:r w:rsidRPr="00F7304A">
        <w:rPr>
          <w:color w:val="000000" w:themeColor="text1"/>
        </w:rPr>
        <w:tab/>
      </w:r>
      <w:r w:rsidR="00902209" w:rsidRPr="00902209">
        <w:rPr>
          <w:i/>
          <w:color w:val="000000" w:themeColor="text1"/>
          <w:sz w:val="22"/>
          <w:szCs w:val="22"/>
          <w:lang w:val="en"/>
        </w:rPr>
        <w:t xml:space="preserve">During a life-threatening situation like the </w:t>
      </w:r>
      <w:r w:rsidR="00172A50">
        <w:rPr>
          <w:i/>
          <w:color w:val="000000" w:themeColor="text1"/>
          <w:sz w:val="22"/>
          <w:szCs w:val="22"/>
          <w:lang w:val="en"/>
        </w:rPr>
        <w:t>Covid-19</w:t>
      </w:r>
      <w:r w:rsidR="00902209" w:rsidRPr="00902209">
        <w:rPr>
          <w:i/>
          <w:color w:val="000000" w:themeColor="text1"/>
          <w:sz w:val="22"/>
          <w:szCs w:val="22"/>
          <w:lang w:val="en"/>
        </w:rPr>
        <w:t xml:space="preserve"> pandemic, disinformation spreads widely. While people project their affective aspect in understanding the situation, their fear of </w:t>
      </w:r>
      <w:r w:rsidR="00172A50">
        <w:rPr>
          <w:i/>
          <w:color w:val="000000" w:themeColor="text1"/>
          <w:sz w:val="22"/>
          <w:szCs w:val="22"/>
          <w:lang w:val="en"/>
        </w:rPr>
        <w:t>Covid-19</w:t>
      </w:r>
      <w:r w:rsidR="00902209" w:rsidRPr="00902209">
        <w:rPr>
          <w:i/>
          <w:color w:val="000000" w:themeColor="text1"/>
          <w:sz w:val="22"/>
          <w:szCs w:val="22"/>
          <w:lang w:val="en"/>
        </w:rPr>
        <w:t xml:space="preserve"> disrupts their logical and sound judgment toward disinformation. Less credible information like rumors become</w:t>
      </w:r>
      <w:r w:rsidR="005173DD">
        <w:rPr>
          <w:i/>
          <w:color w:val="000000" w:themeColor="text1"/>
          <w:sz w:val="22"/>
          <w:szCs w:val="22"/>
          <w:lang w:val="en"/>
        </w:rPr>
        <w:t>s</w:t>
      </w:r>
      <w:r w:rsidR="00902209" w:rsidRPr="00902209">
        <w:rPr>
          <w:i/>
          <w:color w:val="000000" w:themeColor="text1"/>
          <w:sz w:val="22"/>
          <w:szCs w:val="22"/>
          <w:lang w:val="en"/>
        </w:rPr>
        <w:t xml:space="preserve"> reliable for few people. This research aims at mapping the categories of disinformation based on the Kominfo report from January to March 2020. There were 359 hoaxes with </w:t>
      </w:r>
      <w:r w:rsidR="005173DD">
        <w:rPr>
          <w:i/>
          <w:color w:val="000000" w:themeColor="text1"/>
          <w:sz w:val="22"/>
          <w:szCs w:val="22"/>
          <w:lang w:val="en"/>
        </w:rPr>
        <w:t>five</w:t>
      </w:r>
      <w:r w:rsidR="00902209" w:rsidRPr="00902209">
        <w:rPr>
          <w:i/>
          <w:color w:val="000000" w:themeColor="text1"/>
          <w:sz w:val="22"/>
          <w:szCs w:val="22"/>
          <w:lang w:val="en"/>
        </w:rPr>
        <w:t xml:space="preserve"> categories and 30 sub</w:t>
      </w:r>
      <w:r w:rsidR="005D00CC">
        <w:rPr>
          <w:i/>
          <w:color w:val="000000" w:themeColor="text1"/>
          <w:sz w:val="22"/>
          <w:szCs w:val="22"/>
          <w:lang w:val="en"/>
        </w:rPr>
        <w:t>-</w:t>
      </w:r>
      <w:r w:rsidR="00902209" w:rsidRPr="00902209">
        <w:rPr>
          <w:i/>
          <w:color w:val="000000" w:themeColor="text1"/>
          <w:sz w:val="22"/>
          <w:szCs w:val="22"/>
          <w:lang w:val="en"/>
        </w:rPr>
        <w:t xml:space="preserve">categories. The research employed a quantitative as well as a qualitative content analysis as a method. The 359 hoaxes were categorized, coded, and interpreted according to the categories. The research findings disclosed that </w:t>
      </w:r>
      <w:r w:rsidR="005173DD">
        <w:rPr>
          <w:i/>
          <w:color w:val="000000" w:themeColor="text1"/>
          <w:sz w:val="22"/>
          <w:szCs w:val="22"/>
          <w:lang w:val="en"/>
        </w:rPr>
        <w:t>most disinformation people</w:t>
      </w:r>
      <w:r w:rsidR="00902209" w:rsidRPr="00902209">
        <w:rPr>
          <w:i/>
          <w:color w:val="000000" w:themeColor="text1"/>
          <w:sz w:val="22"/>
          <w:szCs w:val="22"/>
          <w:lang w:val="en"/>
        </w:rPr>
        <w:t xml:space="preserve"> were the people concerned </w:t>
      </w:r>
      <w:r w:rsidR="00F91228">
        <w:rPr>
          <w:i/>
          <w:color w:val="000000" w:themeColor="text1"/>
          <w:sz w:val="22"/>
          <w:szCs w:val="22"/>
          <w:lang w:val="en"/>
        </w:rPr>
        <w:t>about</w:t>
      </w:r>
      <w:r w:rsidR="00902209" w:rsidRPr="00902209">
        <w:rPr>
          <w:i/>
          <w:color w:val="000000" w:themeColor="text1"/>
          <w:sz w:val="22"/>
          <w:szCs w:val="22"/>
          <w:lang w:val="en"/>
        </w:rPr>
        <w:t xml:space="preserve"> each other (157, 52.2%).  The majority of the hoax context related to health (234, 65.2%). Facebook (142, 39.6%) and WhatsApp (122, 34%) were the main </w:t>
      </w:r>
      <w:r w:rsidR="005173DD">
        <w:rPr>
          <w:i/>
          <w:color w:val="000000" w:themeColor="text1"/>
          <w:sz w:val="22"/>
          <w:szCs w:val="22"/>
          <w:lang w:val="en"/>
        </w:rPr>
        <w:t>hoax distribution platforms</w:t>
      </w:r>
      <w:r w:rsidR="00902209" w:rsidRPr="00902209">
        <w:rPr>
          <w:i/>
          <w:color w:val="000000" w:themeColor="text1"/>
          <w:sz w:val="22"/>
          <w:szCs w:val="22"/>
          <w:lang w:val="en"/>
        </w:rPr>
        <w:t>. Many hoaxes mentioned names of places, buildings, and other venues in local settings (157, 43.7%). Finally, the majority of the disinformation spread dread rumors (241, 67.1%).</w:t>
      </w:r>
    </w:p>
    <w:p w14:paraId="44AC13F3" w14:textId="43D8F025" w:rsidR="00064330" w:rsidRPr="00134F97" w:rsidRDefault="00064330" w:rsidP="003847B5">
      <w:pPr>
        <w:pStyle w:val="Default"/>
        <w:jc w:val="both"/>
        <w:rPr>
          <w:rFonts w:cs="Times New Roman"/>
          <w:i/>
          <w:sz w:val="22"/>
          <w:szCs w:val="22"/>
          <w:lang w:val="id-ID"/>
        </w:rPr>
      </w:pPr>
      <w:r w:rsidRPr="00134F97">
        <w:rPr>
          <w:rFonts w:cs="Times New Roman"/>
          <w:b/>
          <w:i/>
          <w:sz w:val="22"/>
          <w:szCs w:val="22"/>
        </w:rPr>
        <w:t>Keywords</w:t>
      </w:r>
      <w:r w:rsidRPr="00134F97">
        <w:rPr>
          <w:rFonts w:cs="Times New Roman"/>
          <w:i/>
          <w:sz w:val="22"/>
          <w:szCs w:val="22"/>
        </w:rPr>
        <w:t xml:space="preserve">: </w:t>
      </w:r>
      <w:r w:rsidR="00902209">
        <w:rPr>
          <w:rFonts w:cs="Times New Roman"/>
          <w:i/>
          <w:sz w:val="22"/>
          <w:szCs w:val="22"/>
        </w:rPr>
        <w:t xml:space="preserve">disinformation, </w:t>
      </w:r>
      <w:r w:rsidR="00172A50">
        <w:rPr>
          <w:rFonts w:cs="Times New Roman"/>
          <w:i/>
          <w:sz w:val="22"/>
          <w:szCs w:val="22"/>
        </w:rPr>
        <w:t>Covid-19</w:t>
      </w:r>
      <w:r w:rsidR="00902209">
        <w:rPr>
          <w:rFonts w:cs="Times New Roman"/>
          <w:i/>
          <w:sz w:val="22"/>
          <w:szCs w:val="22"/>
        </w:rPr>
        <w:t>, qualitative, content analysis</w:t>
      </w:r>
    </w:p>
    <w:p w14:paraId="18863862" w14:textId="77777777" w:rsidR="00064330" w:rsidRDefault="00064330" w:rsidP="00E8432C">
      <w:pPr>
        <w:pStyle w:val="Default"/>
        <w:jc w:val="center"/>
        <w:rPr>
          <w:rFonts w:cs="Times New Roman"/>
          <w:lang w:val="id-ID"/>
        </w:rPr>
      </w:pPr>
    </w:p>
    <w:p w14:paraId="702DB8AD" w14:textId="77777777" w:rsidR="00064330" w:rsidRPr="001F7681" w:rsidRDefault="00064330" w:rsidP="00064330">
      <w:pPr>
        <w:pStyle w:val="Default"/>
        <w:jc w:val="center"/>
        <w:rPr>
          <w:rFonts w:cs="Times New Roman"/>
          <w:i/>
        </w:rPr>
      </w:pPr>
      <w:r w:rsidRPr="001F7681">
        <w:rPr>
          <w:rFonts w:cs="Times New Roman"/>
          <w:b/>
          <w:bCs/>
          <w:i/>
        </w:rPr>
        <w:t>Abstra</w:t>
      </w:r>
      <w:r>
        <w:rPr>
          <w:rFonts w:cs="Times New Roman"/>
          <w:b/>
          <w:bCs/>
          <w:i/>
        </w:rPr>
        <w:t>k</w:t>
      </w:r>
    </w:p>
    <w:p w14:paraId="2512C414" w14:textId="31C70C63" w:rsidR="004B258A" w:rsidRPr="00BF3F2C" w:rsidRDefault="00902209" w:rsidP="004B258A">
      <w:pPr>
        <w:pStyle w:val="Default"/>
        <w:tabs>
          <w:tab w:val="left" w:pos="567"/>
        </w:tabs>
        <w:ind w:firstLine="567"/>
        <w:jc w:val="both"/>
        <w:rPr>
          <w:rFonts w:cs="Times New Roman"/>
          <w:i/>
          <w:sz w:val="22"/>
          <w:szCs w:val="22"/>
        </w:rPr>
      </w:pPr>
      <w:r w:rsidRPr="00902209">
        <w:rPr>
          <w:rFonts w:cs="Times New Roman"/>
          <w:i/>
          <w:color w:val="000000" w:themeColor="text1"/>
          <w:sz w:val="22"/>
          <w:szCs w:val="22"/>
        </w:rPr>
        <w:t xml:space="preserve">Selama situasi yang mengancam jiwa seperti pandemi </w:t>
      </w:r>
      <w:r w:rsidR="00172A50">
        <w:rPr>
          <w:rFonts w:cs="Times New Roman"/>
          <w:i/>
          <w:color w:val="000000" w:themeColor="text1"/>
          <w:sz w:val="22"/>
          <w:szCs w:val="22"/>
        </w:rPr>
        <w:t>Covid-19</w:t>
      </w:r>
      <w:r w:rsidRPr="00902209">
        <w:rPr>
          <w:rFonts w:cs="Times New Roman"/>
          <w:i/>
          <w:color w:val="000000" w:themeColor="text1"/>
          <w:sz w:val="22"/>
          <w:szCs w:val="22"/>
        </w:rPr>
        <w:t xml:space="preserve">, disinformasi menyebar luas. Sementara orang memproyeksikan aspek afektif mereka dalam memahami situasi, ketakutan mereka terhadap </w:t>
      </w:r>
      <w:r w:rsidR="00172A50">
        <w:rPr>
          <w:rFonts w:cs="Times New Roman"/>
          <w:i/>
          <w:color w:val="000000" w:themeColor="text1"/>
          <w:sz w:val="22"/>
          <w:szCs w:val="22"/>
        </w:rPr>
        <w:t>Covid-19</w:t>
      </w:r>
      <w:r w:rsidRPr="00902209">
        <w:rPr>
          <w:rFonts w:cs="Times New Roman"/>
          <w:i/>
          <w:color w:val="000000" w:themeColor="text1"/>
          <w:sz w:val="22"/>
          <w:szCs w:val="22"/>
        </w:rPr>
        <w:t xml:space="preserve"> mengganggu penilaian logis dan masuk akal mereka terhadap disinformasi. Informasi yang kurang kredibel seperti rumor menjadi dapat diandalkan untuk beberapa orang. Penelitian ini bertujuan untuk memetakan kategori disinformasi berdasarkan laporan Kominfo dari Januari hingga Maret 2020. Terdapat 359 hoax dengan 5 kategori dan 30 sub kategori. Penelitian ini menggunakan analisis isi kuantitatif dan kualitatif sebagai metode. 359 hoax dikategorikan, diberi kode, dan diinterpretasikan sesuai dengan kategorinya. Hasil penelitian mengungkapkan bahwa sebagian besar disinformasi adalah orang-orang yang sangat peduli satu sama lain (157, 52,2%). Sebagian besar konteks hoax terkait kesehatan (234, 65,2%). Facebook (142, 39.6%) dan WhatsApp (122, 34%) adalah platform utama penyebaran hoax. Banyak dari hoax yang menyebutkan nama tempat, bangunan, dan tempat lain dalam pengaturan lokal (157, 43,7%). Akhirnya, mayoritas disinformasi menyebarkan desas-desus yang menakutkan (241, 67,1%).</w:t>
      </w:r>
    </w:p>
    <w:p w14:paraId="5BF8F739" w14:textId="09875B7B" w:rsidR="005A0471" w:rsidRDefault="00064330" w:rsidP="005A0471">
      <w:pPr>
        <w:pStyle w:val="Default"/>
        <w:jc w:val="both"/>
        <w:rPr>
          <w:rFonts w:cs="Times New Roman"/>
          <w:lang w:val="id-ID"/>
        </w:rPr>
      </w:pPr>
      <w:r w:rsidRPr="00BF3F2C">
        <w:rPr>
          <w:rFonts w:cs="Times New Roman"/>
          <w:b/>
          <w:i/>
          <w:sz w:val="22"/>
          <w:szCs w:val="22"/>
        </w:rPr>
        <w:t>Kata Kunci</w:t>
      </w:r>
      <w:r w:rsidRPr="00BF3F2C">
        <w:rPr>
          <w:rFonts w:cs="Times New Roman"/>
          <w:i/>
          <w:sz w:val="22"/>
          <w:szCs w:val="22"/>
        </w:rPr>
        <w:t xml:space="preserve">: </w:t>
      </w:r>
      <w:r w:rsidR="00902209" w:rsidRPr="00902209">
        <w:rPr>
          <w:rFonts w:cs="Times New Roman"/>
          <w:i/>
          <w:sz w:val="22"/>
          <w:szCs w:val="22"/>
        </w:rPr>
        <w:t xml:space="preserve">disinformasi, </w:t>
      </w:r>
      <w:r w:rsidR="00172A50">
        <w:rPr>
          <w:rFonts w:cs="Times New Roman"/>
          <w:i/>
          <w:sz w:val="22"/>
          <w:szCs w:val="22"/>
        </w:rPr>
        <w:t>Covid-19</w:t>
      </w:r>
      <w:r w:rsidR="00902209" w:rsidRPr="00902209">
        <w:rPr>
          <w:rFonts w:cs="Times New Roman"/>
          <w:i/>
          <w:sz w:val="22"/>
          <w:szCs w:val="22"/>
        </w:rPr>
        <w:t>, kualitatif, analisis konten</w:t>
      </w:r>
    </w:p>
    <w:p w14:paraId="0F550EC3" w14:textId="77777777" w:rsidR="009D5919" w:rsidRDefault="009D5919" w:rsidP="005A0471">
      <w:pPr>
        <w:pStyle w:val="Default"/>
        <w:jc w:val="both"/>
        <w:rPr>
          <w:rFonts w:cs="Times New Roman"/>
          <w:lang w:val="id-ID"/>
        </w:rPr>
      </w:pPr>
    </w:p>
    <w:p w14:paraId="4D2408C2" w14:textId="77777777" w:rsidR="009D5919" w:rsidRDefault="009D5919" w:rsidP="005A0471">
      <w:pPr>
        <w:pStyle w:val="Default"/>
        <w:jc w:val="both"/>
        <w:rPr>
          <w:rFonts w:cs="Times New Roman"/>
          <w:lang w:val="id-ID"/>
        </w:rPr>
      </w:pPr>
    </w:p>
    <w:p w14:paraId="70E0FDFF" w14:textId="77777777" w:rsidR="00170744" w:rsidRDefault="00170744" w:rsidP="005A0471">
      <w:pPr>
        <w:pStyle w:val="Default"/>
        <w:jc w:val="both"/>
        <w:rPr>
          <w:rFonts w:cs="Times New Roman"/>
          <w:b/>
          <w:color w:val="000000" w:themeColor="text1"/>
          <w:lang w:val="id-ID"/>
        </w:rPr>
      </w:pPr>
      <w:r>
        <w:rPr>
          <w:rFonts w:cs="Times New Roman"/>
          <w:b/>
          <w:color w:val="000000" w:themeColor="text1"/>
        </w:rPr>
        <w:t>Introduction</w:t>
      </w:r>
    </w:p>
    <w:p w14:paraId="78BDE960" w14:textId="40A9BB05" w:rsidR="00902209" w:rsidRPr="005D00CC" w:rsidRDefault="00613A90" w:rsidP="00031383">
      <w:pPr>
        <w:pStyle w:val="BodyText"/>
        <w:ind w:firstLine="709"/>
        <w:jc w:val="both"/>
        <w:rPr>
          <w:sz w:val="24"/>
          <w:szCs w:val="24"/>
          <w:lang w:val="en"/>
        </w:rPr>
      </w:pPr>
      <w:r w:rsidRPr="005D00CC">
        <w:rPr>
          <w:sz w:val="24"/>
          <w:szCs w:val="24"/>
          <w:lang w:val="en"/>
        </w:rPr>
        <w:t xml:space="preserve">Based on research results from Freelon et al. (2020) show that the appearance of disinformation and propaganda on social media has attracted the public. </w:t>
      </w:r>
      <w:r w:rsidR="00B02B02" w:rsidRPr="005D00CC">
        <w:rPr>
          <w:sz w:val="24"/>
          <w:szCs w:val="24"/>
          <w:lang w:val="en"/>
        </w:rPr>
        <w:t>D</w:t>
      </w:r>
      <w:r w:rsidRPr="005D00CC">
        <w:rPr>
          <w:sz w:val="24"/>
          <w:szCs w:val="24"/>
          <w:lang w:val="en"/>
        </w:rPr>
        <w:t>isinformation ha</w:t>
      </w:r>
      <w:r w:rsidR="005173DD" w:rsidRPr="005D00CC">
        <w:rPr>
          <w:sz w:val="24"/>
          <w:szCs w:val="24"/>
          <w:lang w:val="en"/>
        </w:rPr>
        <w:t>d</w:t>
      </w:r>
      <w:r w:rsidRPr="005D00CC">
        <w:rPr>
          <w:sz w:val="24"/>
          <w:szCs w:val="24"/>
          <w:lang w:val="en"/>
        </w:rPr>
        <w:t xml:space="preserve"> existed since 1946</w:t>
      </w:r>
      <w:r w:rsidR="005173DD" w:rsidRPr="005D00CC">
        <w:rPr>
          <w:sz w:val="24"/>
          <w:szCs w:val="24"/>
          <w:lang w:val="en"/>
        </w:rPr>
        <w:t>,</w:t>
      </w:r>
      <w:r w:rsidRPr="005D00CC">
        <w:rPr>
          <w:sz w:val="24"/>
          <w:szCs w:val="24"/>
          <w:lang w:val="en"/>
        </w:rPr>
        <w:t xml:space="preserve"> where Allport and Postman (1946)</w:t>
      </w:r>
      <w:r w:rsidR="00B02B02" w:rsidRPr="005D00CC">
        <w:rPr>
          <w:sz w:val="24"/>
          <w:szCs w:val="24"/>
          <w:lang w:val="en"/>
        </w:rPr>
        <w:t xml:space="preserve"> in </w:t>
      </w:r>
      <w:r w:rsidR="005173DD" w:rsidRPr="005D00CC">
        <w:rPr>
          <w:sz w:val="24"/>
          <w:szCs w:val="24"/>
          <w:lang w:val="en"/>
        </w:rPr>
        <w:t>Pulford</w:t>
      </w:r>
      <w:r w:rsidR="00031383" w:rsidRPr="005D00CC">
        <w:rPr>
          <w:sz w:val="24"/>
          <w:szCs w:val="24"/>
          <w:lang w:val="en"/>
        </w:rPr>
        <w:t xml:space="preserve"> </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"10.1080/1683478X.2019.1537060", "ISSN" : "21684227", "abstract" : "If the online spread of incendiary information has recently been hotly debated in the West, then related phenomena have been longer-standing concerns in China and Russia. Since 2009, explosions in social media use in both countries have seen internet \u201crumors\u201d proliferate, alongside governmental efforts to curb them. The postsocialist environment is pivotal to these rumors\u2019 spread, as shown by their fixation on symbols of the postsocialist era\u2013particularly the mysterious dealings of political elites. Because the powerful leaders which these rumors target continue as they did under socialism to promote top\u2013down ideological visions of social reality, these rumors appear to represent a form of anti-establishment \u201cresistance.\u201d But an anthropological approach to Chinese and Russian rumors, including comparison with magic and witchcraft practices studied elsewhere in the world, reveals that the authorities\u2019 attempts to combat them with \u201cfact\u201d are misguided, and offers a new understanding of this highly contemporary phenomenon.", "author" : [ { "dropping-particle" : "", "family" : "Pulford", "given" : "Ed", "non-dropping-particle" : "", "parse-names" : false, "suffix" : "" } ], "container-title" : "Asian Anthropology", "id" : "ITEM-1", "issue" : "1", "issued" : { "date-parts" : [ [ "2019", "1", "2" ] ] }, "page" : "1-20", "publisher" : "Routledge", "title" : "Wind from an empty cave? Online rumor and ideology in postsocialist China and Russia", "type" : "article-journal", "volume" : "18" }, "uris" : [ "http://www.mendeley.com/documents/?uuid=3dbdb22c-5970-3c48-b5d0-1966af5f4e94" ] } ], "mendeley" : { "formattedCitation" : "(Pulford, 2019)", "manualFormatting" : "(2019)", "plainTextFormattedCitation" : "(Pulford, 2019)", "previouslyFormattedCitation" : "(Pulford, 2019)"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(2019)</w:t>
      </w:r>
      <w:r w:rsidR="00031383" w:rsidRPr="005D00CC">
        <w:rPr>
          <w:sz w:val="24"/>
          <w:szCs w:val="24"/>
          <w:lang w:val="en"/>
        </w:rPr>
        <w:fldChar w:fldCharType="end"/>
      </w:r>
      <w:r w:rsidR="005173DD" w:rsidRPr="005D00CC">
        <w:rPr>
          <w:sz w:val="24"/>
          <w:szCs w:val="24"/>
          <w:lang w:val="en"/>
        </w:rPr>
        <w:t xml:space="preserve"> </w:t>
      </w:r>
      <w:r w:rsidRPr="005D00CC">
        <w:rPr>
          <w:sz w:val="24"/>
          <w:szCs w:val="24"/>
          <w:lang w:val="en"/>
        </w:rPr>
        <w:t xml:space="preserve">explained that </w:t>
      </w:r>
      <w:r w:rsidR="00172A50" w:rsidRPr="005D00CC">
        <w:rPr>
          <w:sz w:val="24"/>
          <w:szCs w:val="24"/>
          <w:lang w:val="en"/>
        </w:rPr>
        <w:t>rumor</w:t>
      </w:r>
      <w:r w:rsidRPr="005D00CC">
        <w:rPr>
          <w:sz w:val="24"/>
          <w:szCs w:val="24"/>
          <w:lang w:val="en"/>
        </w:rPr>
        <w:t xml:space="preserve"> travels when events </w:t>
      </w:r>
      <w:r w:rsidR="00031383" w:rsidRPr="005D00CC">
        <w:rPr>
          <w:sz w:val="24"/>
          <w:szCs w:val="24"/>
          <w:lang w:val="en"/>
        </w:rPr>
        <w:t>are important in individuals' lives and when the news received about them is either lacking</w:t>
      </w:r>
      <w:r w:rsidRPr="005D00CC">
        <w:rPr>
          <w:sz w:val="24"/>
          <w:szCs w:val="24"/>
          <w:lang w:val="en"/>
        </w:rPr>
        <w:t xml:space="preserve"> subjectively ambiguous. </w:t>
      </w:r>
      <w:r w:rsidR="005173DD" w:rsidRPr="005D00CC">
        <w:rPr>
          <w:sz w:val="24"/>
          <w:szCs w:val="24"/>
          <w:lang w:val="en"/>
        </w:rPr>
        <w:t>Subjectively ambiguous</w:t>
      </w:r>
      <w:r w:rsidRPr="005D00CC">
        <w:rPr>
          <w:sz w:val="24"/>
          <w:szCs w:val="24"/>
          <w:lang w:val="en"/>
        </w:rPr>
        <w:t xml:space="preserve"> reminds and reflects our current </w:t>
      </w:r>
      <w:r w:rsidR="00172A50" w:rsidRPr="005D00CC">
        <w:rPr>
          <w:sz w:val="24"/>
          <w:szCs w:val="24"/>
          <w:lang w:val="en"/>
        </w:rPr>
        <w:t>Covid-19</w:t>
      </w:r>
      <w:r w:rsidRPr="005D00CC">
        <w:rPr>
          <w:sz w:val="24"/>
          <w:szCs w:val="24"/>
          <w:lang w:val="en"/>
        </w:rPr>
        <w:t xml:space="preserve"> pandemic. </w:t>
      </w:r>
      <w:r w:rsidR="005173DD" w:rsidRPr="005D00CC">
        <w:rPr>
          <w:sz w:val="24"/>
          <w:szCs w:val="24"/>
          <w:lang w:val="en"/>
        </w:rPr>
        <w:t>According to</w:t>
      </w:r>
      <w:r w:rsidR="00031383" w:rsidRPr="005D00CC">
        <w:rPr>
          <w:sz w:val="24"/>
          <w:szCs w:val="24"/>
          <w:lang w:val="en"/>
        </w:rPr>
        <w:t xml:space="preserve"> Ali </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"10.1080/01459740.2020.1745481", "ISSN" : "15455882", "PMID" : "32212931", "author" : [ { "dropping-particle" : "", "family" : "Ali", "given" : "Inayat", "non-dropping-particle" : "", "parse-names" : false, "suffix" : "" } ], "container-title" : "Medical Anthropology: Cross Cultural Studies in Health and Illness", "id" : "ITEM-1", "issue" : "5", "issued" : { "date-parts" : [ [ "2020", "7", "3" ] ] }, "page" : "376-379", "publisher" : "Taylor and Francis Inc.", "title" : "The COVID-19 Pandemic: Making Sense of Rumor and Fear: Op-Ed", "type" : "article-journal", "volume" : "39" }, "uris" : [ "http://www.mendeley.com/documents/?uuid=2af73091-ded8-33d0-85d0-315d19e7c3c4" ] } ], "mendeley" : { "formattedCitation" : "(Ali, 2020)", "manualFormatting" : "(2020)", "plainTextFormattedCitation" : "(Ali, 2020)", "previouslyFormattedCitation" : "(Ali,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(2020)</w:t>
      </w:r>
      <w:r w:rsidR="00031383" w:rsidRPr="005D00CC">
        <w:rPr>
          <w:sz w:val="24"/>
          <w:szCs w:val="24"/>
          <w:lang w:val="en"/>
        </w:rPr>
        <w:fldChar w:fldCharType="end"/>
      </w:r>
      <w:r w:rsidR="00031383" w:rsidRPr="005D00CC">
        <w:rPr>
          <w:sz w:val="24"/>
          <w:szCs w:val="24"/>
          <w:lang w:val="en"/>
        </w:rPr>
        <w:t xml:space="preserve">, </w:t>
      </w:r>
      <w:r w:rsidR="005173DD" w:rsidRPr="005D00CC">
        <w:rPr>
          <w:sz w:val="24"/>
          <w:szCs w:val="24"/>
          <w:lang w:val="en"/>
        </w:rPr>
        <w:t>e</w:t>
      </w:r>
      <w:r w:rsidRPr="005D00CC">
        <w:rPr>
          <w:sz w:val="24"/>
          <w:szCs w:val="24"/>
          <w:lang w:val="en"/>
        </w:rPr>
        <w:t xml:space="preserve">veryone was scared and worried about their own life. While in the meantime, </w:t>
      </w:r>
      <w:r w:rsidR="00172A50" w:rsidRPr="005D00CC">
        <w:rPr>
          <w:sz w:val="24"/>
          <w:szCs w:val="24"/>
          <w:lang w:val="en"/>
        </w:rPr>
        <w:t>Covid-19</w:t>
      </w:r>
      <w:r w:rsidR="005173DD" w:rsidRPr="005D00CC">
        <w:rPr>
          <w:sz w:val="24"/>
          <w:szCs w:val="24"/>
          <w:lang w:val="en"/>
        </w:rPr>
        <w:t xml:space="preserve"> </w:t>
      </w:r>
      <w:r w:rsidRPr="005D00CC">
        <w:rPr>
          <w:sz w:val="24"/>
          <w:szCs w:val="24"/>
          <w:lang w:val="en"/>
        </w:rPr>
        <w:t>news was ambiguous</w:t>
      </w:r>
      <w:r w:rsidR="005173DD" w:rsidRPr="005D00CC">
        <w:rPr>
          <w:sz w:val="24"/>
          <w:szCs w:val="24"/>
          <w:lang w:val="en"/>
        </w:rPr>
        <w:t xml:space="preserve"> and made sense of </w:t>
      </w:r>
      <w:r w:rsidR="00172A50" w:rsidRPr="005D00CC">
        <w:rPr>
          <w:sz w:val="24"/>
          <w:szCs w:val="24"/>
          <w:lang w:val="en"/>
        </w:rPr>
        <w:t>rumor</w:t>
      </w:r>
      <w:r w:rsidRPr="005D00CC">
        <w:rPr>
          <w:sz w:val="24"/>
          <w:szCs w:val="24"/>
          <w:lang w:val="en"/>
        </w:rPr>
        <w:t xml:space="preserve">. </w:t>
      </w:r>
      <w:r w:rsidR="005173DD" w:rsidRPr="005D00CC">
        <w:rPr>
          <w:sz w:val="24"/>
          <w:szCs w:val="24"/>
          <w:lang w:val="en"/>
        </w:rPr>
        <w:t>O</w:t>
      </w:r>
      <w:r w:rsidRPr="005D00CC">
        <w:rPr>
          <w:sz w:val="24"/>
          <w:szCs w:val="24"/>
          <w:lang w:val="en"/>
        </w:rPr>
        <w:t xml:space="preserve">n the other side, </w:t>
      </w:r>
      <w:r w:rsidR="005173DD" w:rsidRPr="005D00CC">
        <w:rPr>
          <w:sz w:val="24"/>
          <w:szCs w:val="24"/>
          <w:lang w:val="en"/>
        </w:rPr>
        <w:t>Scherr</w:t>
      </w:r>
      <w:r w:rsidRPr="005D00CC">
        <w:rPr>
          <w:sz w:val="24"/>
          <w:szCs w:val="24"/>
          <w:lang w:val="en"/>
        </w:rPr>
        <w:t xml:space="preserve"> et al</w:t>
      </w:r>
      <w:r w:rsidR="00031383" w:rsidRPr="005D00CC">
        <w:rPr>
          <w:sz w:val="24"/>
          <w:szCs w:val="24"/>
          <w:lang w:val="en"/>
        </w:rPr>
        <w:t xml:space="preserve">. </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"10.1080/03623319.2020.1859817", "ISSN" : "0362-3319", "author" : [ { "dropping-particle" : "", "family" : "Scherr", "given" : "Sebastian", "non-dropping-particle" : "", "parse-names" : false, "suffix" : "" }, { "dropping-particle" : "", "family" : "Arendt", "given" : "Florian", "non-dropping-particle" : "", "parse-names" : false, "suffix" : "" }, { "dropping-particle" : "", "family" : "Prieler", "given" : "Michael", "non-dropping-particle" : "", "parse-names" : false, "suffix" : "" }, { "dropping-particle" : "", "family" : "Ju", "given" : "Youngkee", "non-dropping-particle" : "", "parse-names" : false, "suffix" : "" } ], "container-title" : "The Social Science Journal", "id" : "ITEM-1", "issued" : { "date-parts" : [ [ "2021", "1", "12" ] ] }, "note" : "doi: 10.1080/03623319.2020.1859817", "page" : "1-18", "publisher" : "Routledge", "title" : "Investigating the negative-cognitive-triad-hypothesis of news choice in Germany and South Korea: does depression predict selective exposure to negative news?", "type" : "article-journal" }, "uris" : [ "http://www.mendeley.com/documents/?uuid=aa955dcf-4842-3269-8802-3038eaef6ddf" ] } ], "mendeley" : { "formattedCitation" : "(Scherr, Arendt, Prieler, &amp; Ju, 2021)", "manualFormatting" : "(2021)", "plainTextFormattedCitation" : "(Scherr, Arendt, Prieler, &amp; Ju, 2021)", "previouslyFormattedCitation" : "(Scherr, Arendt, Prieler, &amp; Ju, 2021)"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(2021)</w:t>
      </w:r>
      <w:r w:rsidR="00031383" w:rsidRPr="005D00CC">
        <w:rPr>
          <w:sz w:val="24"/>
          <w:szCs w:val="24"/>
          <w:lang w:val="en"/>
        </w:rPr>
        <w:fldChar w:fldCharType="end"/>
      </w:r>
      <w:r w:rsidR="00031383" w:rsidRPr="005D00CC">
        <w:rPr>
          <w:sz w:val="24"/>
          <w:szCs w:val="24"/>
          <w:lang w:val="en"/>
        </w:rPr>
        <w:t xml:space="preserve"> </w:t>
      </w:r>
      <w:r w:rsidRPr="005D00CC">
        <w:rPr>
          <w:sz w:val="24"/>
          <w:szCs w:val="24"/>
          <w:lang w:val="en"/>
        </w:rPr>
        <w:t>show th</w:t>
      </w:r>
      <w:r w:rsidR="005173DD" w:rsidRPr="005D00CC">
        <w:rPr>
          <w:sz w:val="24"/>
          <w:szCs w:val="24"/>
          <w:lang w:val="en"/>
        </w:rPr>
        <w:t>e vague news impacts</w:t>
      </w:r>
      <w:r w:rsidRPr="005D00CC">
        <w:rPr>
          <w:sz w:val="24"/>
          <w:szCs w:val="24"/>
          <w:lang w:val="en"/>
        </w:rPr>
        <w:t xml:space="preserve"> negative information. In our contemporary digital world, we call this misleading </w:t>
      </w:r>
      <w:r w:rsidR="005173DD" w:rsidRPr="005D00CC">
        <w:rPr>
          <w:sz w:val="24"/>
          <w:szCs w:val="24"/>
          <w:lang w:val="en"/>
        </w:rPr>
        <w:t>news d</w:t>
      </w:r>
      <w:r w:rsidRPr="005D00CC">
        <w:rPr>
          <w:sz w:val="24"/>
          <w:szCs w:val="24"/>
          <w:lang w:val="en"/>
        </w:rPr>
        <w:t>isinformation</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"10.1080/14484528.2017.1364170", "ISSN" : "17512964", "abstract" : "We are in the midst of a data revolution that has penetrated the daily life of most of the world\u2019s population so suddenly and deeply that it is impossible to grasp the extent of its impact on the concepts of self and identity. At the same time as accessing the ever-expanding realm of data via our networked devices, we are also contributing to it with every click or touch and generating a new kind of self in the free and open space of the Internet \u2013 \u2018the world\u2019s largest ungoverned space\u2019. Can the new inclusiveness that digital technologies have given us be understood as the fulfilment of campaigns waged by critical theories in the late twenty-first century against the authority and centrality of mainstream narratives and the visions they promulgated of the world and ourselves? Or are we facing a new kind of imperialism as we fall under the spell of algorithmic culture \u2013 the monster we ourselves have created, nurtured and set free? This paper considers identity in the twenty-first century in terms of the tensions and contradictions between freedom and chaos, definition and dissolution, location and placelessness that are inherent in the digital world.", "author" : [ { "dropping-particle" : "", "family" : "Arthur", "given" : "Paul Longley", "non-dropping-particle" : "", "parse-names" : false, "suffix" : "" } ], "container-title" : "Life Writing", "id" : "ITEM-1", "issue" : "4", "issued" : { "date-parts" : [ [ "2017" ] ] }, "page" : "541-550", "publisher" : "Routledge", "title" : "Things fall apart: Identity in the digital world", "type" : "article-journal", "volume" : "14" }, "uris" : [ "http://www.mendeley.com/documents/?uuid=999f0aa9-1a49-3fe1-a302-03ed3bc2b582" ] } ], "mendeley" : { "formattedCitation" : "(Arthur, 2017)", "plainTextFormattedCitation" : "(Arthur, 2017)", "previouslyFormattedCitation" : "(Arthur, 2017)"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(Arthur, 2017)</w:t>
      </w:r>
      <w:r w:rsidR="00031383" w:rsidRPr="005D00CC">
        <w:rPr>
          <w:sz w:val="24"/>
          <w:szCs w:val="24"/>
          <w:lang w:val="en"/>
        </w:rPr>
        <w:fldChar w:fldCharType="end"/>
      </w:r>
      <w:r w:rsidR="00031383" w:rsidRPr="005D00CC">
        <w:rPr>
          <w:sz w:val="24"/>
          <w:szCs w:val="24"/>
          <w:lang w:val="en"/>
        </w:rPr>
        <w:t xml:space="preserve">. </w:t>
      </w:r>
      <w:r w:rsidRPr="005D00CC">
        <w:rPr>
          <w:sz w:val="24"/>
          <w:szCs w:val="24"/>
          <w:lang w:val="en"/>
        </w:rPr>
        <w:t xml:space="preserve">We can discern the confusion of news consumption that happened </w:t>
      </w:r>
      <w:r w:rsidR="005173DD" w:rsidRPr="005D00CC">
        <w:rPr>
          <w:sz w:val="24"/>
          <w:szCs w:val="24"/>
          <w:lang w:val="en"/>
        </w:rPr>
        <w:t xml:space="preserve">in </w:t>
      </w:r>
      <w:r w:rsidRPr="005D00CC">
        <w:rPr>
          <w:sz w:val="24"/>
          <w:szCs w:val="24"/>
          <w:lang w:val="en"/>
        </w:rPr>
        <w:t>World</w:t>
      </w:r>
      <w:r w:rsidR="005173DD" w:rsidRPr="005D00CC">
        <w:rPr>
          <w:sz w:val="24"/>
          <w:szCs w:val="24"/>
          <w:lang w:val="en"/>
        </w:rPr>
        <w:t xml:space="preserve"> War</w:t>
      </w:r>
      <w:r w:rsidRPr="005D00CC">
        <w:rPr>
          <w:sz w:val="24"/>
          <w:szCs w:val="24"/>
          <w:lang w:val="en"/>
        </w:rPr>
        <w:t xml:space="preserve"> I is repeated today. It is indeed relevant to our present </w:t>
      </w:r>
      <w:r w:rsidR="00172A50" w:rsidRPr="005D00CC">
        <w:rPr>
          <w:sz w:val="24"/>
          <w:szCs w:val="24"/>
          <w:lang w:val="en"/>
        </w:rPr>
        <w:t>Covid-19</w:t>
      </w:r>
      <w:r w:rsidRPr="005D00CC">
        <w:rPr>
          <w:sz w:val="24"/>
          <w:szCs w:val="24"/>
          <w:lang w:val="en"/>
        </w:rPr>
        <w:t xml:space="preserve"> pandemic</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"10.1080/10410236.2020.1837445", "ISSN" : "15327027", "PMID" : "33106029", "abstract" : "The ongoing COVID-19 pandemic has brought forward the centrality of public communication as a force for information, and in highlighting the differential impact on diverse segments of the society. Information and communication technologies-led developments including social media have previously been discussed as instruments of democratization of knowledge. However, the evidence so far shows that the promise remains unfulfilled as upper socioeconomic groups acquire information at a faster rate than others. The communication inequalities have only reinforced the existing societal fault lines of race, class and place. As the first pandemic of the social media age, COVID-19 has also given rise to an \u201cinfodemic\u201d, providing fertile ground for the spread of information, misinformation and disinformation. With limited gatekeeping, an immense amount of unprocessed scientific information is being put forward to publics not trained in science. In this commentary, we offer some propositions on how disinformation on COVID-19 has become mainstreamed through social media\u2019s spiral of amplification and what role public communication has in an emergency from a lens of equity. We raise the question of whether the tremendous flow of scientific information during the COVID-19 pandemic has a differential impact on different socioeconomic groups. We propose that more systematic research is urgently needed to understand how mis/disinformation originate, spread and what their consequences are. In our view, research in health communication inequalities is foundational to mitigating the current off-line and online ravages of the pandemic.", "author" : [ { "dropping-particle" : "", "family" : "Viswanath", "given" : "K.", "non-dropping-particle" : "", "parse-names" : false, "suffix" : "" }, { "dropping-particle" : "", "family" : "Lee", "given" : "Edmund W.J.", "non-dropping-particle" : "", "parse-names" : false, "suffix" : "" }, { "dropping-particle" : "", "family" : "Pinnamaneni", "given" : "Ramya", "non-dropping-particle" : "", "parse-names" : false, "suffix" : "" } ], "container-title" : "Health Communication", "id" : "ITEM-1", "issue" : "14", "issued" : { "date-parts" : [ [ "2020", "12", "5" ] ] }, "page" : "1743-1746", "publisher" : "Routledge", "title" : "We Need the Lens of Equity in COVID-19 Communication", "type" : "article-journal", "volume" : "35" }, "uris" : [ "http://www.mendeley.com/documents/?uuid=c5d7cd86-69a1-3615-a3c4-7dbeefc36e2c" ] } ], "mendeley" : { "formattedCitation" : "(Viswanath, Lee, &amp; Pinnamaneni, 2020)", "plainTextFormattedCitation" : "(Viswanath, Lee, &amp; Pinnamaneni, 2020)", "previouslyFormattedCitation" : "(Viswanath, Lee, &amp; Pinnamaneni,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(Viswanath, Lee, &amp; Pinnamaneni, 2020)</w:t>
      </w:r>
      <w:r w:rsidR="00031383" w:rsidRPr="005D00CC">
        <w:rPr>
          <w:sz w:val="24"/>
          <w:szCs w:val="24"/>
          <w:lang w:val="en"/>
        </w:rPr>
        <w:fldChar w:fldCharType="end"/>
      </w:r>
      <w:r w:rsidR="00031383" w:rsidRPr="005D00CC">
        <w:rPr>
          <w:sz w:val="24"/>
          <w:szCs w:val="24"/>
          <w:lang w:val="en"/>
        </w:rPr>
        <w:t>.</w:t>
      </w:r>
    </w:p>
    <w:p w14:paraId="28C46E0D" w14:textId="5BFD56B5" w:rsidR="005173DD" w:rsidRPr="005D00CC" w:rsidRDefault="00172A50" w:rsidP="00613A90">
      <w:pPr>
        <w:pStyle w:val="BodyText"/>
        <w:spacing w:before="1"/>
        <w:ind w:firstLine="709"/>
        <w:jc w:val="both"/>
        <w:rPr>
          <w:sz w:val="24"/>
          <w:szCs w:val="24"/>
          <w:lang w:val="en-US"/>
        </w:rPr>
      </w:pPr>
      <w:r w:rsidRPr="005D00CC">
        <w:rPr>
          <w:sz w:val="24"/>
          <w:szCs w:val="24"/>
          <w:lang w:val="en"/>
        </w:rPr>
        <w:t>Rumor</w:t>
      </w:r>
      <w:r w:rsidR="00031383" w:rsidRPr="005D00CC">
        <w:rPr>
          <w:sz w:val="24"/>
          <w:szCs w:val="24"/>
          <w:lang w:val="en"/>
        </w:rPr>
        <w:t>s</w:t>
      </w:r>
      <w:r w:rsidR="00902209" w:rsidRPr="005D00CC">
        <w:rPr>
          <w:sz w:val="24"/>
          <w:szCs w:val="24"/>
          <w:lang w:val="en"/>
        </w:rPr>
        <w:t xml:space="preserve"> </w:t>
      </w:r>
      <w:r w:rsidR="00902209" w:rsidRPr="005D00CC">
        <w:rPr>
          <w:i/>
          <w:sz w:val="24"/>
          <w:szCs w:val="24"/>
          <w:lang w:val="en"/>
        </w:rPr>
        <w:t>en masse</w:t>
      </w:r>
      <w:r w:rsidR="00902209" w:rsidRPr="005D00CC">
        <w:rPr>
          <w:sz w:val="24"/>
          <w:szCs w:val="24"/>
          <w:lang w:val="en"/>
        </w:rPr>
        <w:t xml:space="preserve"> are </w:t>
      </w:r>
      <w:r w:rsidR="005173DD" w:rsidRPr="005D00CC">
        <w:rPr>
          <w:sz w:val="24"/>
          <w:szCs w:val="24"/>
          <w:lang w:val="en"/>
        </w:rPr>
        <w:t>challenging</w:t>
      </w:r>
      <w:r w:rsidR="00902209" w:rsidRPr="005D00CC">
        <w:rPr>
          <w:sz w:val="24"/>
          <w:szCs w:val="24"/>
          <w:lang w:val="en"/>
        </w:rPr>
        <w:t xml:space="preserve"> to handle or prevent. Social media platforms like Twitter consider themselves a</w:t>
      </w:r>
      <w:r w:rsidR="005173DD" w:rsidRPr="005D00CC">
        <w:rPr>
          <w:sz w:val="24"/>
          <w:szCs w:val="24"/>
          <w:lang w:val="en"/>
        </w:rPr>
        <w:t>ggregators of information such as disinformation in the Taliban's war propaganda</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"10.1080/01296612.2020.1822634", "ISSN" : "0129-6612", "abstract" : "Advancement in communication technology evolved means and structure of media production. It also democratized dissemination of information. Social media as a significant platform for political enga...", "author" : [ { "dropping-particle" : "", "family" : "Bahar", "given" : "Hazrat M.", "non-dropping-particle" : "", "parse-names" : false, "suffix" : "" } ], "container-title" : "Media Asia", "id" : "ITEM-1", "issue" : "1-2", "issued" : { "date-parts" : [ [ "2020", "4", "2" ] ] }, "page" : "34-46", "publisher" : "Informa UK Limited", "title" : "Social media and disinformation in war propaganda: how Afghan government and the Taliban use Twitter", "type" : "article-journal", "volume" : "47" }, "uris" : [ "http://www.mendeley.com/documents/?uuid=18bdb229-56da-31a0-9a20-acce82c10963" ] } ], "mendeley" : { "formattedCitation" : "(Bahar, 2020)", "plainTextFormattedCitation" : "(Bahar, 2020)", "previouslyFormattedCitation" : "(Bahar,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(Bahar, 2020)</w:t>
      </w:r>
      <w:r w:rsidR="00031383" w:rsidRPr="005D00CC">
        <w:rPr>
          <w:sz w:val="24"/>
          <w:szCs w:val="24"/>
          <w:lang w:val="en"/>
        </w:rPr>
        <w:fldChar w:fldCharType="end"/>
      </w:r>
      <w:r w:rsidR="00031383" w:rsidRPr="005D00CC">
        <w:rPr>
          <w:sz w:val="24"/>
          <w:szCs w:val="24"/>
          <w:lang w:val="en"/>
        </w:rPr>
        <w:t xml:space="preserve">. </w:t>
      </w:r>
      <w:r w:rsidR="00902209" w:rsidRPr="005D00CC">
        <w:rPr>
          <w:sz w:val="24"/>
          <w:szCs w:val="24"/>
          <w:lang w:val="en"/>
        </w:rPr>
        <w:t>Unfortunately, the prevalence of social media platforms ha</w:t>
      </w:r>
      <w:r w:rsidR="005173DD" w:rsidRPr="005D00CC">
        <w:rPr>
          <w:sz w:val="24"/>
          <w:szCs w:val="24"/>
          <w:lang w:val="en"/>
        </w:rPr>
        <w:t>s</w:t>
      </w:r>
      <w:r w:rsidR="00902209" w:rsidRPr="005D00CC">
        <w:rPr>
          <w:sz w:val="24"/>
          <w:szCs w:val="24"/>
          <w:lang w:val="en"/>
        </w:rPr>
        <w:t xml:space="preserve"> amplified </w:t>
      </w:r>
      <w:r w:rsidR="005173DD" w:rsidRPr="005D00CC">
        <w:rPr>
          <w:sz w:val="24"/>
          <w:szCs w:val="24"/>
          <w:lang w:val="en"/>
        </w:rPr>
        <w:t xml:space="preserve">the </w:t>
      </w:r>
      <w:r w:rsidR="00902209" w:rsidRPr="005D00CC">
        <w:rPr>
          <w:sz w:val="24"/>
          <w:szCs w:val="24"/>
          <w:lang w:val="en"/>
        </w:rPr>
        <w:t>circulation and outreach of disinformation. Two core elements of social media, namely web 2.0 and user</w:t>
      </w:r>
      <w:r w:rsidR="005173DD" w:rsidRPr="005D00CC">
        <w:rPr>
          <w:sz w:val="24"/>
          <w:szCs w:val="24"/>
          <w:lang w:val="en"/>
        </w:rPr>
        <w:t>-</w:t>
      </w:r>
      <w:r w:rsidR="00902209" w:rsidRPr="005D00CC">
        <w:rPr>
          <w:sz w:val="24"/>
          <w:szCs w:val="24"/>
          <w:lang w:val="en"/>
        </w:rPr>
        <w:t>generated content (UGC)</w:t>
      </w:r>
      <w:r w:rsidR="005173DD" w:rsidRPr="005D00CC">
        <w:rPr>
          <w:sz w:val="24"/>
          <w:szCs w:val="24"/>
          <w:lang w:val="en"/>
        </w:rPr>
        <w:t>,</w:t>
      </w:r>
      <w:r w:rsidR="00902209" w:rsidRPr="005D00CC">
        <w:rPr>
          <w:sz w:val="24"/>
          <w:szCs w:val="24"/>
          <w:lang w:val="en"/>
        </w:rPr>
        <w:t xml:space="preserve"> complicate the information environment. The flow of UGC on the web foundation has so long supported the spread of information</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"10.1080/01972243.2015.977636", "ISSN" : "10876537", "abstract" : "Fuchs and also Arvidsson and Colleoni have explored the creation of user-generated content in social media as an economic process. This perspective proposes an alternative conceptual approach, arguing that the main value of user involvement in content production is the constitution of individuals as social subjects. To this end, a critique of the traditional Marxist political economy is presented to provide insights into the complex changes in contemporary societies that underlie the growth of user-generated content. The concept of the social media dispositive is introduced as an analytic for studying material practices as well as economic and social aspects of social media.", "author" : [ { "dropping-particle" : "", "family" : "Zajc", "given" : "Melita", "non-dropping-particle" : "", "parse-names" : false, "suffix" : "" } ], "container-title" : "Information Society", "id" : "ITEM-1", "issue" : "1", "issued" : { "date-parts" : [ [ "2015" ] ] }, "page" : "61-67", "title" : "The Social Media Dispositive and Monetization of User-Generated Content", "type" : "article-journal", "volume" : "31" }, "uris" : [ "http://www.mendeley.com/documents/?uuid=bb6b91d8-fdc5-4f65-b85a-d7334529266b" ] } ], "mendeley" : { "formattedCitation" : "(Zajc, 2015)", "plainTextFormattedCitation" : "(Zajc, 2015)", "previouslyFormattedCitation" : "(Zajc, 2015)"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(Zajc, 2015)</w:t>
      </w:r>
      <w:r w:rsidR="00031383" w:rsidRPr="005D00CC">
        <w:rPr>
          <w:sz w:val="24"/>
          <w:szCs w:val="24"/>
          <w:lang w:val="en"/>
        </w:rPr>
        <w:fldChar w:fldCharType="end"/>
      </w:r>
      <w:r w:rsidR="00902209" w:rsidRPr="005D00CC">
        <w:rPr>
          <w:sz w:val="24"/>
          <w:szCs w:val="24"/>
          <w:lang w:val="en"/>
        </w:rPr>
        <w:t>. However, this mechanism approves disinformation circulation on the public timeline. Disinformation has affected many aspects of our life such as politic (Faris et al., 2017), law (Glaeser &amp; Ujhelyi, 2010), health (Nyhan et al., 2013, and Chou et al., 2018), social life (on democracy see Kahne &amp; Bowyer, 2017, and on technology (on sanction see Fried &amp; Polyakova, 2018, and ethic see Christians et al., 2020).</w:t>
      </w:r>
    </w:p>
    <w:p w14:paraId="5029D502" w14:textId="200EDC19" w:rsidR="005173DD" w:rsidRPr="005D00CC" w:rsidRDefault="00902209" w:rsidP="00613A90">
      <w:pPr>
        <w:pStyle w:val="BodyText"/>
        <w:spacing w:before="1"/>
        <w:ind w:firstLine="709"/>
        <w:jc w:val="both"/>
        <w:rPr>
          <w:sz w:val="24"/>
          <w:szCs w:val="24"/>
          <w:lang w:val="en"/>
        </w:rPr>
      </w:pPr>
      <w:r w:rsidRPr="005D00CC">
        <w:rPr>
          <w:sz w:val="24"/>
          <w:szCs w:val="24"/>
          <w:lang w:val="en"/>
        </w:rPr>
        <w:t xml:space="preserve">While most users swamped themselves in the afore-mentioned types of disinformation, they were left in awe by </w:t>
      </w:r>
      <w:r w:rsidR="005173DD" w:rsidRPr="005D00CC">
        <w:rPr>
          <w:sz w:val="24"/>
          <w:szCs w:val="24"/>
          <w:lang w:val="en"/>
        </w:rPr>
        <w:t xml:space="preserve">pandemic </w:t>
      </w:r>
      <w:r w:rsidR="00031383" w:rsidRPr="005D00CC">
        <w:rPr>
          <w:sz w:val="24"/>
          <w:szCs w:val="24"/>
          <w:lang w:val="en"/>
        </w:rPr>
        <w:t>rumors</w:t>
      </w:r>
      <w:r w:rsidRPr="005D00CC">
        <w:rPr>
          <w:sz w:val="24"/>
          <w:szCs w:val="24"/>
          <w:lang w:val="en"/>
        </w:rPr>
        <w:t>. In times of panic</w:t>
      </w:r>
      <w:r w:rsidR="005173DD" w:rsidRPr="005D00CC">
        <w:rPr>
          <w:sz w:val="24"/>
          <w:szCs w:val="24"/>
          <w:lang w:val="en"/>
        </w:rPr>
        <w:t>,</w:t>
      </w:r>
      <w:r w:rsidRPr="005D00CC">
        <w:rPr>
          <w:sz w:val="24"/>
          <w:szCs w:val="24"/>
          <w:lang w:val="en"/>
        </w:rPr>
        <w:t xml:space="preserve"> when life matters most, </w:t>
      </w:r>
      <w:r w:rsidR="005173DD" w:rsidRPr="005D00CC">
        <w:rPr>
          <w:sz w:val="24"/>
          <w:szCs w:val="24"/>
          <w:lang w:val="en"/>
        </w:rPr>
        <w:t>word</w:t>
      </w:r>
      <w:r w:rsidRPr="005D00CC">
        <w:rPr>
          <w:sz w:val="24"/>
          <w:szCs w:val="24"/>
          <w:lang w:val="en"/>
        </w:rPr>
        <w:t>s can become believable</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"10.1080/01296612.2020.1853393", "ISSN" : "0129-6612", "abstract" : "The outbreak of COVID-19 pandemic has impacted all sectors of life. Despite economic downturn, one major impact of global pandemic is the rise of 'infodemic' and 'disinfodemic', which actually creates challenge for the public to access reliable information when they require it. News media plays a crucial role in such stressful situations by providing timely and accurate information about the pandemic. Nevertheless, when the news verification and gatekeeping is weak, dissemination of false information within the infodemic can result in the toxic disinfodemic of disinformation and misinformation. It is imperative to recognize that journalists, especially in restrained environments (like Pakistan), can combat infodemic and disinfodemic about the pandemic when their safety and accessibility to needed information are guaranteed, and when they are not prone to diverse challenges. Therefore, drawing on Reese's hierarchy of influences model, this study seeks to explore the various levels of influences that impact on the Pakistani journalists' reporting and their ability to deal with the challenges of infodemic and disinfodemic amid COVID-19 pandemic. Moreover, this study uses qualitative method of in-depth interviews (online) and employs thematic analysis to address the study's findings.", "author" : [ { "dropping-particle" : "", "family" : "Jamil", "given" : "Sadia", "non-dropping-particle" : "", "parse-names" : false, "suffix" : "" }, { "dropping-particle" : "", "family" : "Appiah-Adjei", "given" : "Gifty", "non-dropping-particle" : "", "parse-names" : false, "suffix" : "" } ], "container-title" : "Media Asia", "id" : "ITEM-1", "issue" : "3-4", "issued" : { "date-parts" : [ [ "2020", "10", "1" ] ] }, "page" : "88-109", "publisher" : "Informa UK Limited", "title" : "Battling with infodemic and disinfodemic: the quandary of journalists to report on COVID-19 pandemic in Pakistan", "type" : "article-journal", "volume" : "47" }, "uris" : [ "http://www.mendeley.com/documents/?uuid=e9c816d6-8e36-3275-843a-6f3f90c4bb91" ] } ], "mendeley" : { "formattedCitation" : "(Jamil &amp; Appiah-Adjei, 2020)", "plainTextFormattedCitation" : "(Jamil &amp; Appiah-Adjei, 2020)", "previouslyFormattedCitation" : "(Jamil &amp; Appiah-Adjei,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(Jamil &amp; Appiah-Adjei, 2020)</w:t>
      </w:r>
      <w:r w:rsidR="00031383" w:rsidRPr="005D00CC">
        <w:rPr>
          <w:sz w:val="24"/>
          <w:szCs w:val="24"/>
          <w:lang w:val="en"/>
        </w:rPr>
        <w:fldChar w:fldCharType="end"/>
      </w:r>
      <w:r w:rsidR="00031383" w:rsidRPr="005D00CC">
        <w:rPr>
          <w:sz w:val="24"/>
          <w:szCs w:val="24"/>
          <w:lang w:val="en"/>
        </w:rPr>
        <w:t xml:space="preserve">. </w:t>
      </w:r>
      <w:r w:rsidR="005173DD" w:rsidRPr="005D00CC">
        <w:rPr>
          <w:sz w:val="24"/>
          <w:szCs w:val="24"/>
          <w:lang w:val="en"/>
        </w:rPr>
        <w:t xml:space="preserve">Research </w:t>
      </w:r>
      <w:r w:rsidR="00031383" w:rsidRPr="005D00CC">
        <w:rPr>
          <w:sz w:val="24"/>
          <w:szCs w:val="24"/>
          <w:lang w:val="en"/>
        </w:rPr>
        <w:t>by</w:t>
      </w:r>
      <w:r w:rsidR="005173DD" w:rsidRPr="005D00CC">
        <w:rPr>
          <w:sz w:val="24"/>
          <w:szCs w:val="24"/>
          <w:lang w:val="en"/>
        </w:rPr>
        <w:t xml:space="preserve"> Guo and Zhang </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"10.1080/1461670X.2020.1827012", "ISSN" : "14699699", "abstract" : "In China, the discussion of \u201cfake news\u201d often revolves around online rumor. In addition to politically motivated rumors, a large portion of profit-driven, sensational rumors permeate China's Internet. This study examines the diffusion of day-to-day online rumors on Weibo, WeChat, and mainstream news websites\u2014the three major online news platforms in China\u2014within an agenda-setting framework. Specifically, the study analyzed the top ten most widely distributed online rumors in China in 2016, focusing on how each rumor was reported and the transfer of rumor salience within and across the three media platforms. A total of 18,347 news items were quantitatively content analyzed and time-series analyses were conducted to discover the rumor diffusion patterns. Overall, the results show that Weibo was most likely to advance rumors, while WeChat had the greatest rumor refutation-to-advancement ratio. Mainstream news websites set the agenda of both Weibo and WeChat in refuting rumors and, ironically, also set the agenda of WeChat in advancing rumors. For rumor refuting within social media, the agenda-setting power of mainstream media remained strong on Weibo, while on WeChat governmental accounts and alternative information sources were more effective in building the mainstream media agenda.", "author" : [ { "dropping-particle" : "", "family" : "Guo", "given" : "Lei", "non-dropping-particle" : "", "parse-names" : false, "suffix" : "" }, { "dropping-particle" : "", "family" : "Zhang", "given" : "Yiyan", "non-dropping-particle" : "", "parse-names" : false, "suffix" : "" } ], "container-title" : "Journalism Studies", "id" : "ITEM-1", "issue" : "15", "issued" : { "date-parts" : [ [ "2020", "11", "17" ] ] }, "page" : "2176-2195", "publisher" : "Routledge", "title" : "Information Flow Within and Across Online Media Platforms: An Agenda-setting Analysis of Rumor Diffusion on News Websites, Weibo, and WeChat in China", "type" : "article-journal", "volume" : "21" }, "uris" : [ "http://www.mendeley.com/documents/?uuid=3e206814-6bc1-31f2-8f31-caeafa37ac2f" ] } ], "mendeley" : { "formattedCitation" : "(Guo &amp; Zhang, 2020)", "manualFormatting" : "(2020)", "plainTextFormattedCitation" : "(Guo &amp; Zhang, 2020)", "previouslyFormattedCitation" : "(Guo &amp; Zhang,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(2020)</w:t>
      </w:r>
      <w:r w:rsidR="00031383" w:rsidRPr="005D00CC">
        <w:rPr>
          <w:sz w:val="24"/>
          <w:szCs w:val="24"/>
          <w:lang w:val="en"/>
        </w:rPr>
        <w:fldChar w:fldCharType="end"/>
      </w:r>
      <w:r w:rsidR="00031383" w:rsidRPr="005D00CC">
        <w:rPr>
          <w:sz w:val="24"/>
          <w:szCs w:val="24"/>
          <w:lang w:val="en"/>
        </w:rPr>
        <w:t xml:space="preserve"> </w:t>
      </w:r>
      <w:r w:rsidRPr="005D00CC">
        <w:rPr>
          <w:sz w:val="24"/>
          <w:szCs w:val="24"/>
          <w:lang w:val="en"/>
        </w:rPr>
        <w:t xml:space="preserve">that </w:t>
      </w:r>
      <w:r w:rsidR="00031383" w:rsidRPr="005D00CC">
        <w:rPr>
          <w:sz w:val="24"/>
          <w:szCs w:val="24"/>
          <w:lang w:val="en"/>
        </w:rPr>
        <w:t>rumors</w:t>
      </w:r>
      <w:r w:rsidRPr="005D00CC">
        <w:rPr>
          <w:sz w:val="24"/>
          <w:szCs w:val="24"/>
          <w:lang w:val="en"/>
        </w:rPr>
        <w:t xml:space="preserve"> travels during the time</w:t>
      </w:r>
      <w:r w:rsidR="005173DD" w:rsidRPr="005D00CC">
        <w:rPr>
          <w:sz w:val="24"/>
          <w:szCs w:val="24"/>
          <w:lang w:val="en"/>
        </w:rPr>
        <w:t xml:space="preserve"> and individuals' live</w:t>
      </w:r>
      <w:r w:rsidRPr="005D00CC">
        <w:rPr>
          <w:sz w:val="24"/>
          <w:szCs w:val="24"/>
          <w:lang w:val="en"/>
        </w:rPr>
        <w:t xml:space="preserve">s are at stake. </w:t>
      </w:r>
      <w:r w:rsidR="00172A50" w:rsidRPr="005D00CC">
        <w:rPr>
          <w:sz w:val="24"/>
          <w:szCs w:val="24"/>
          <w:lang w:val="en"/>
        </w:rPr>
        <w:t xml:space="preserve">Guo </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"10.1080/21670811.2020.1766986", "ISSN" : "2167082X", "abstract" : "This study examines the \u201cfake news\u201d problem in China where the media environment is tightly controlled. Focusing on online rumors that are not politically sensitive, this article seeks to shed light on a commercialized dimension of China\u2019s online media landscape in addition to a highly politicalized one that previous research has emphasized. Based on an intermedia agenda-setting analysis of the top ten rumors circulated on China\u2019s Internet in 2016, this study demonstrates that although the government-controlled news websites challenged the rumors to a great extent, they also contributed to the perpetration of misinformation. Even the national official media advanced some rumors themselves and induced other media outlets to do so.", "author" : [ { "dropping-particle" : "", "family" : "Guo", "given" : "Lei", "non-dropping-particle" : "", "parse-names" : false, "suffix" : "" } ], "container-title" : "Digital Journalism", "id" : "ITEM-1", "issue" : "8", "issued" : { "date-parts" : [ [ "2020", "9", "13" ] ] }, "page" : "992-1010", "publisher" : "Routledge", "title" : "China\u2019s \u201cFake News\u201d Problem: Exploring the Spread of Online Rumors in the Government-Controlled News Media", "type" : "article-journal", "volume" : "8" }, "uris" : [ "http://www.mendeley.com/documents/?uuid=97b768e7-675f-3389-b720-bba2abefd6b9" ] } ], "mendeley" : { "formattedCitation" : "(Guo, 2020)", "manualFormatting" : "(2020)", "plainTextFormattedCitation" : "(Guo, 2020)", "previouslyFormattedCitation" : "(Guo, 2020)"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(2020)</w:t>
      </w:r>
      <w:r w:rsidR="00031383" w:rsidRPr="005D00CC">
        <w:rPr>
          <w:sz w:val="24"/>
          <w:szCs w:val="24"/>
          <w:lang w:val="en"/>
        </w:rPr>
        <w:fldChar w:fldCharType="end"/>
      </w:r>
      <w:r w:rsidR="00031383" w:rsidRPr="005D00CC">
        <w:rPr>
          <w:sz w:val="24"/>
          <w:szCs w:val="24"/>
          <w:lang w:val="en"/>
        </w:rPr>
        <w:t xml:space="preserve"> </w:t>
      </w:r>
      <w:r w:rsidR="00172A50" w:rsidRPr="005D00CC">
        <w:rPr>
          <w:sz w:val="24"/>
          <w:szCs w:val="24"/>
          <w:lang w:val="en"/>
        </w:rPr>
        <w:t>explains</w:t>
      </w:r>
      <w:r w:rsidR="005173DD" w:rsidRPr="005D00CC">
        <w:rPr>
          <w:sz w:val="24"/>
          <w:szCs w:val="24"/>
          <w:lang w:val="en"/>
        </w:rPr>
        <w:t xml:space="preserve"> </w:t>
      </w:r>
      <w:r w:rsidR="00172A50" w:rsidRPr="005D00CC">
        <w:rPr>
          <w:sz w:val="24"/>
          <w:szCs w:val="24"/>
          <w:lang w:val="en"/>
        </w:rPr>
        <w:t xml:space="preserve">that </w:t>
      </w:r>
      <w:r w:rsidR="00031383" w:rsidRPr="005D00CC">
        <w:rPr>
          <w:sz w:val="24"/>
          <w:szCs w:val="24"/>
          <w:lang w:val="en"/>
        </w:rPr>
        <w:t>rumors</w:t>
      </w:r>
      <w:r w:rsidRPr="005D00CC">
        <w:rPr>
          <w:sz w:val="24"/>
          <w:szCs w:val="24"/>
          <w:lang w:val="en"/>
        </w:rPr>
        <w:t xml:space="preserve"> may become conceivable when the news received about them and the on-going events are ambiguous. </w:t>
      </w:r>
      <w:r w:rsidR="005173DD" w:rsidRPr="005D00CC">
        <w:rPr>
          <w:sz w:val="24"/>
          <w:szCs w:val="24"/>
          <w:lang w:val="en"/>
        </w:rPr>
        <w:t>Therefore, h</w:t>
      </w:r>
      <w:r w:rsidRPr="005D00CC">
        <w:rPr>
          <w:sz w:val="24"/>
          <w:szCs w:val="24"/>
          <w:lang w:val="en"/>
        </w:rPr>
        <w:t>alf-baked news reporting gave prominence to the ambiguity</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"10.1080/08351813.2015.1090109", "ISSN" : "0835-1813", "author" : [ { "dropping-particle" : "", "family" : "Koivisto", "given" : "Aino", "non-dropping-particle" : "", "parse-names" : false, "suffix" : "" } ], "container-title" : "Research on Language and Social Interaction", "id" : "ITEM-1", "issue" : "4", "issued" : { "date-parts" : [ [ "2015", "10", "2" ] ] }, "note" : "doi: 10.1080/08351813.2015.1090109", "page" : "365-387", "publisher" : "Routledge", "title" : "Dealing with Ambiguities in Informings: Finnish Aijaa as a \u201cNeutral\u201d News Receipt", "type" : "article-journal", "volume" : "48" }, "uris" : [ "http://www.mendeley.com/documents/?uuid=2933c790-cc4f-3a6e-8511-ef044d2efdc8" ] } ], "mendeley" : { "formattedCitation" : "(Koivisto, 2015)", "plainTextFormattedCitation" : "(Koivisto, 2015)", "previouslyFormattedCitation" : "(Koivisto, 2015)" }, "properties" : { "noteIndex" : 2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(Koivisto, 2015)</w:t>
      </w:r>
      <w:r w:rsidR="00031383" w:rsidRPr="005D00CC">
        <w:rPr>
          <w:sz w:val="24"/>
          <w:szCs w:val="24"/>
          <w:lang w:val="en"/>
        </w:rPr>
        <w:fldChar w:fldCharType="end"/>
      </w:r>
      <w:r w:rsidR="00031383" w:rsidRPr="005D00CC">
        <w:rPr>
          <w:sz w:val="24"/>
          <w:szCs w:val="24"/>
          <w:lang w:val="en"/>
        </w:rPr>
        <w:t xml:space="preserve">. </w:t>
      </w:r>
      <w:r w:rsidRPr="005D00CC">
        <w:rPr>
          <w:sz w:val="24"/>
          <w:szCs w:val="24"/>
          <w:lang w:val="en"/>
        </w:rPr>
        <w:t>Th</w:t>
      </w:r>
      <w:r w:rsidR="005173DD" w:rsidRPr="005D00CC">
        <w:rPr>
          <w:sz w:val="24"/>
          <w:szCs w:val="24"/>
          <w:lang w:val="en"/>
        </w:rPr>
        <w:t>us</w:t>
      </w:r>
      <w:r w:rsidRPr="005D00CC">
        <w:rPr>
          <w:sz w:val="24"/>
          <w:szCs w:val="24"/>
          <w:lang w:val="en"/>
        </w:rPr>
        <w:t>, people seem incapable of comprehending the news.</w:t>
      </w:r>
    </w:p>
    <w:p w14:paraId="5E121638" w14:textId="508E00F2" w:rsidR="00902209" w:rsidRPr="005D00CC" w:rsidRDefault="00902209" w:rsidP="00613A90">
      <w:pPr>
        <w:pStyle w:val="BodyText"/>
        <w:spacing w:before="1"/>
        <w:ind w:firstLine="709"/>
        <w:jc w:val="both"/>
        <w:rPr>
          <w:sz w:val="24"/>
          <w:szCs w:val="24"/>
        </w:rPr>
      </w:pPr>
      <w:r w:rsidRPr="005D00CC">
        <w:rPr>
          <w:sz w:val="24"/>
          <w:szCs w:val="24"/>
          <w:lang w:val="en"/>
        </w:rPr>
        <w:t>Sunstein (2014) classifies the spreading mechanism</w:t>
      </w:r>
      <w:r w:rsidR="005173DD" w:rsidRPr="005D00CC">
        <w:rPr>
          <w:sz w:val="24"/>
          <w:szCs w:val="24"/>
          <w:lang w:val="en"/>
        </w:rPr>
        <w:t>,</w:t>
      </w:r>
      <w:r w:rsidRPr="005D00CC">
        <w:rPr>
          <w:sz w:val="24"/>
          <w:szCs w:val="24"/>
          <w:lang w:val="en"/>
        </w:rPr>
        <w:t xml:space="preserve"> namely social cascades</w:t>
      </w:r>
      <w:r w:rsidR="005173DD" w:rsidRPr="005D00CC">
        <w:rPr>
          <w:sz w:val="24"/>
          <w:szCs w:val="24"/>
          <w:lang w:val="en"/>
        </w:rPr>
        <w:t>,</w:t>
      </w:r>
      <w:r w:rsidRPr="005D00CC">
        <w:rPr>
          <w:sz w:val="24"/>
          <w:szCs w:val="24"/>
          <w:lang w:val="en"/>
        </w:rPr>
        <w:t xml:space="preserve"> and group polarization. Cascades mechanism ensues as people rely heavily on each other</w:t>
      </w:r>
      <w:r w:rsidR="005173DD" w:rsidRPr="005D00CC">
        <w:rPr>
          <w:sz w:val="24"/>
          <w:szCs w:val="24"/>
          <w:lang w:val="en"/>
        </w:rPr>
        <w:t>'</w:t>
      </w:r>
      <w:r w:rsidRPr="005D00CC">
        <w:rPr>
          <w:sz w:val="24"/>
          <w:szCs w:val="24"/>
          <w:lang w:val="en"/>
        </w:rPr>
        <w:t xml:space="preserve">s thought and conduct. When one feels lacking information, </w:t>
      </w:r>
      <w:r w:rsidR="00172A50" w:rsidRPr="005D00CC">
        <w:rPr>
          <w:sz w:val="24"/>
          <w:szCs w:val="24"/>
          <w:lang w:val="en"/>
        </w:rPr>
        <w:t>people can approve</w:t>
      </w:r>
      <w:r w:rsidRPr="005D00CC">
        <w:rPr>
          <w:sz w:val="24"/>
          <w:szCs w:val="24"/>
          <w:lang w:val="en"/>
        </w:rPr>
        <w:t xml:space="preserve"> </w:t>
      </w:r>
      <w:r w:rsidR="005173DD" w:rsidRPr="005D00CC">
        <w:rPr>
          <w:sz w:val="24"/>
          <w:szCs w:val="24"/>
          <w:lang w:val="en"/>
        </w:rPr>
        <w:t xml:space="preserve">the </w:t>
      </w:r>
      <w:r w:rsidRPr="005D00CC">
        <w:rPr>
          <w:sz w:val="24"/>
          <w:szCs w:val="24"/>
          <w:lang w:val="en"/>
        </w:rPr>
        <w:t xml:space="preserve">views of others. A </w:t>
      </w:r>
      <w:r w:rsidR="005173DD" w:rsidRPr="005D00CC">
        <w:rPr>
          <w:sz w:val="24"/>
          <w:szCs w:val="24"/>
          <w:lang w:val="en"/>
        </w:rPr>
        <w:t xml:space="preserve">social </w:t>
      </w:r>
      <w:r w:rsidRPr="005D00CC">
        <w:rPr>
          <w:sz w:val="24"/>
          <w:szCs w:val="24"/>
          <w:lang w:val="en"/>
        </w:rPr>
        <w:t>cascade could develop when a group of early movers or influencers, or bellwethers, express verbally or act physically to signal others to follow. The second mechanism, group polarization</w:t>
      </w:r>
      <w:r w:rsidR="005173DD" w:rsidRPr="005D00CC">
        <w:rPr>
          <w:sz w:val="24"/>
          <w:szCs w:val="24"/>
          <w:lang w:val="en"/>
        </w:rPr>
        <w:t>,</w:t>
      </w:r>
      <w:r w:rsidRPr="005D00CC">
        <w:rPr>
          <w:sz w:val="24"/>
          <w:szCs w:val="24"/>
          <w:lang w:val="en"/>
        </w:rPr>
        <w:t xml:space="preserve"> relates to the homophily nature of groups. It is when like-minded people assemble. Once the group members conduct an in-depth discussion of </w:t>
      </w:r>
      <w:r w:rsidR="00031383" w:rsidRPr="005D00CC">
        <w:rPr>
          <w:sz w:val="24"/>
          <w:szCs w:val="24"/>
          <w:lang w:val="en"/>
        </w:rPr>
        <w:t>rumors</w:t>
      </w:r>
      <w:r w:rsidRPr="005D00CC">
        <w:rPr>
          <w:sz w:val="24"/>
          <w:szCs w:val="24"/>
          <w:lang w:val="en"/>
        </w:rPr>
        <w:t xml:space="preserve">, they would believe it. Not to complicate </w:t>
      </w:r>
      <w:r w:rsidR="005173DD" w:rsidRPr="005D00CC">
        <w:rPr>
          <w:sz w:val="24"/>
          <w:szCs w:val="24"/>
          <w:lang w:val="en"/>
        </w:rPr>
        <w:t xml:space="preserve">the </w:t>
      </w:r>
      <w:r w:rsidRPr="005D00CC">
        <w:rPr>
          <w:sz w:val="24"/>
          <w:szCs w:val="24"/>
          <w:lang w:val="en"/>
        </w:rPr>
        <w:t xml:space="preserve">definition, either disinformation or </w:t>
      </w:r>
      <w:r w:rsidR="00031383" w:rsidRPr="005D00CC">
        <w:rPr>
          <w:sz w:val="24"/>
          <w:szCs w:val="24"/>
          <w:lang w:val="en"/>
        </w:rPr>
        <w:t>rumors</w:t>
      </w:r>
      <w:r w:rsidRPr="005D00CC">
        <w:rPr>
          <w:sz w:val="24"/>
          <w:szCs w:val="24"/>
          <w:lang w:val="en"/>
        </w:rPr>
        <w:t xml:space="preserve"> pose similar characters. Cummings and Kong (2019) verified </w:t>
      </w:r>
      <w:r w:rsidR="005173DD" w:rsidRPr="005D00CC">
        <w:rPr>
          <w:sz w:val="24"/>
          <w:szCs w:val="24"/>
          <w:lang w:val="en"/>
        </w:rPr>
        <w:t xml:space="preserve">that </w:t>
      </w:r>
      <w:r w:rsidR="00031383" w:rsidRPr="005D00CC">
        <w:rPr>
          <w:sz w:val="24"/>
          <w:szCs w:val="24"/>
          <w:lang w:val="en"/>
        </w:rPr>
        <w:t>rumors</w:t>
      </w:r>
      <w:r w:rsidRPr="005D00CC">
        <w:rPr>
          <w:sz w:val="24"/>
          <w:szCs w:val="24"/>
          <w:lang w:val="en"/>
        </w:rPr>
        <w:t xml:space="preserve"> and disinformation display and deliver</w:t>
      </w:r>
      <w:r w:rsidR="005173DD" w:rsidRPr="005D00CC">
        <w:rPr>
          <w:sz w:val="24"/>
          <w:szCs w:val="24"/>
          <w:lang w:val="en"/>
        </w:rPr>
        <w:t>ed</w:t>
      </w:r>
      <w:r w:rsidRPr="005D00CC">
        <w:rPr>
          <w:sz w:val="24"/>
          <w:szCs w:val="24"/>
          <w:lang w:val="en"/>
        </w:rPr>
        <w:t xml:space="preserve"> malicious intentions to persuade people to misleading information.</w:t>
      </w:r>
    </w:p>
    <w:p w14:paraId="76EB5847" w14:textId="4FDF4440" w:rsidR="00902209" w:rsidRPr="005D00CC" w:rsidRDefault="00172A50" w:rsidP="00172A50">
      <w:pPr>
        <w:pStyle w:val="BodyText"/>
        <w:spacing w:before="1"/>
        <w:ind w:firstLine="709"/>
        <w:jc w:val="both"/>
        <w:rPr>
          <w:sz w:val="24"/>
          <w:szCs w:val="24"/>
          <w:lang w:val="en"/>
        </w:rPr>
      </w:pPr>
      <w:r w:rsidRPr="005D00CC">
        <w:rPr>
          <w:sz w:val="24"/>
          <w:szCs w:val="24"/>
          <w:lang w:val="en"/>
        </w:rPr>
        <w:lastRenderedPageBreak/>
        <w:t>Academics, governments and private sectors had disinformation in the SARS outbreak in 2003</w:t>
      </w:r>
      <w:r w:rsidR="00031383" w:rsidRPr="005D00CC">
        <w:rPr>
          <w:sz w:val="24"/>
          <w:szCs w:val="24"/>
          <w:lang w:val="en"/>
        </w:rPr>
        <w:fldChar w:fldCharType="begin" w:fldLock="1"/>
      </w:r>
      <w:r w:rsidR="00031383" w:rsidRPr="005D00CC">
        <w:rPr>
          <w:sz w:val="24"/>
          <w:szCs w:val="24"/>
          <w:lang w:val="en"/>
        </w:rPr>
        <w:instrText>ADDIN CSL_CITATION { "citationItems" : [ { "id" : "ITEM-1", "itemData" : { "DOI" : "10.1080/13569775.2012.651273", "ISSN" : "13569775", "abstract" : "Neglect of the cross-cutting confluences between different domains of security can lead to insular notions of global security as well as to lost opportunities for security sensitive contributions to the adjoining issue areas. This article attempts to overview the patterns of interactions during three security scenarios of early 2003: wars, as, for example, the War against Terror and the war in Iraq; pandemics such as severe acute respiratory syndrome (SARS); and air mobility. The overview approach is meant to draw attention to the synoptic interplay between global security scenarios that go beyond the usual disciplinary and conceptual boundaries separating security studies, global health and mobility infrastructures. How does the context of war amplify other security concerns? What were the synoptic interactions within temporally situated 'bundles' of security-related concerns? How did global air mobility politics and pandemic politics construct their combined security problematiques? The main research findings point to the relatively unique yet momentary qualities of the emergent nexus of security scenarios. This sheds light on the difficulties of managing pandemic diseases as purely epidemiological processes, on the complexities of securing global air mobility networks, and on how tense situations are prone to lead to speculative projections as people's fears find different somatic, material and political manifestations. The primary material for the textual analysis is provided by World Health Organization's SARS chronology. \u00a9 2012 Copyright Taylor and Francis Group, LLC.", "author" : [ { "dropping-particle" : "", "family" : "Aaltola", "given" : "Mika", "non-dropping-particle" : "", "parse-names" : false, "suffix" : "" } ], "container-title" : "Contemporary Politics", "id" : "ITEM-1", "issue" : "1", "issued" : { "date-parts" : [ [ "2012", "3" ] ] }, "page" : "53-70", "title" : "Contagious insecurity: War, SARS and global air mobility", "type" : "article-journal", "volume" : "18" }, "uris" : [ "http://www.mendeley.com/documents/?uuid=3878be78-820f-3003-b643-2c4b9ecfe672" ] } ], "mendeley" : { "formattedCitation" : "(Aaltola, 2012)", "plainTextFormattedCitation" : "(Aaltola, 2012)", "previouslyFormattedCitation" : "(Aaltola, 2012)" }, "properties" : { "noteIndex" : 3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(Aaltola, 2012)</w:t>
      </w:r>
      <w:r w:rsidR="00031383" w:rsidRPr="005D00CC">
        <w:rPr>
          <w:sz w:val="24"/>
          <w:szCs w:val="24"/>
          <w:lang w:val="en"/>
        </w:rPr>
        <w:fldChar w:fldCharType="end"/>
      </w:r>
      <w:r w:rsidRPr="005D00CC">
        <w:rPr>
          <w:sz w:val="24"/>
          <w:szCs w:val="24"/>
          <w:lang w:val="en"/>
        </w:rPr>
        <w:t xml:space="preserve">. They have failed to warn us of the disinformation circulation danger. One main factor is the presence of social media platforms and private group chats. They have been overrun by pandemic disinformation daily. At the same time, the public was left to understand and identify </w:t>
      </w:r>
      <w:r w:rsidR="00031383" w:rsidRPr="005D00CC">
        <w:rPr>
          <w:sz w:val="24"/>
          <w:szCs w:val="24"/>
          <w:lang w:val="en"/>
        </w:rPr>
        <w:t>rumor</w:t>
      </w:r>
      <w:r w:rsidRPr="005D00CC">
        <w:rPr>
          <w:sz w:val="24"/>
          <w:szCs w:val="24"/>
          <w:lang w:val="en"/>
        </w:rPr>
        <w:t xml:space="preserve">s by themselves. Financial and social constraints already burden the masses themselves. The chaotic and toxic social media landscape could lead people to give up thinking about and looking for facts. </w:t>
      </w:r>
      <w:r w:rsidR="00031383" w:rsidRPr="005D00CC">
        <w:rPr>
          <w:sz w:val="24"/>
          <w:szCs w:val="24"/>
          <w:lang w:val="en"/>
        </w:rPr>
        <w:t>S</w:t>
      </w:r>
      <w:r w:rsidRPr="005D00CC">
        <w:rPr>
          <w:sz w:val="24"/>
          <w:szCs w:val="24"/>
          <w:lang w:val="en"/>
        </w:rPr>
        <w:t xml:space="preserve">ociety can be easily misled by make-believe information during the Covid-19 pandemic. Some actual events supported this proposition. On the other side, three 5G masts were set ablaze in some parts of the UK. The UK society believed that 5G frequency has been causing coronavirus (Warren, 2020). Likewise, In India, many people started to consume cow dung and urine. They believe these animal left-overs were an alternative cure to coronavirus, even cancer (Nath, 2020). Simultaneously, </w:t>
      </w:r>
      <w:r w:rsidR="00031383" w:rsidRPr="005D00CC">
        <w:rPr>
          <w:sz w:val="24"/>
          <w:szCs w:val="24"/>
          <w:lang w:val="en"/>
        </w:rPr>
        <w:t>Indonesia's society</w:t>
      </w:r>
      <w:r w:rsidRPr="005D00CC">
        <w:rPr>
          <w:sz w:val="24"/>
          <w:szCs w:val="24"/>
          <w:lang w:val="en"/>
        </w:rPr>
        <w:t xml:space="preserve"> got the disinformation through WhatsApp groups saying onion could cure Coronavirus or dates fruit may contain coronavirus from bats (Patrick, 2020)</w:t>
      </w:r>
      <w:r w:rsidR="00902209" w:rsidRPr="005D00CC">
        <w:rPr>
          <w:sz w:val="24"/>
          <w:szCs w:val="24"/>
          <w:lang w:val="en"/>
        </w:rPr>
        <w:t>.</w:t>
      </w:r>
    </w:p>
    <w:p w14:paraId="3DA69840" w14:textId="39D08848" w:rsidR="00902209" w:rsidRPr="005D00CC" w:rsidRDefault="00172A50" w:rsidP="00902209">
      <w:pPr>
        <w:pStyle w:val="BodyText"/>
        <w:ind w:firstLine="709"/>
        <w:jc w:val="both"/>
        <w:rPr>
          <w:sz w:val="24"/>
          <w:szCs w:val="24"/>
          <w:lang w:val="en"/>
        </w:rPr>
      </w:pPr>
      <w:r w:rsidRPr="005D00CC">
        <w:rPr>
          <w:sz w:val="24"/>
          <w:szCs w:val="24"/>
          <w:lang w:val="en"/>
        </w:rPr>
        <w:t xml:space="preserve">Therefore, </w:t>
      </w:r>
      <w:r w:rsidR="00902209" w:rsidRPr="005D00CC">
        <w:rPr>
          <w:sz w:val="24"/>
          <w:szCs w:val="24"/>
          <w:lang w:val="en"/>
        </w:rPr>
        <w:t xml:space="preserve">Indonesian face quite ample numbers of disinformation during the </w:t>
      </w:r>
      <w:r w:rsidRPr="005D00CC">
        <w:rPr>
          <w:sz w:val="24"/>
          <w:szCs w:val="24"/>
          <w:lang w:val="en"/>
        </w:rPr>
        <w:t>Covid-19</w:t>
      </w:r>
      <w:r w:rsidR="00902209" w:rsidRPr="005D00CC">
        <w:rPr>
          <w:sz w:val="24"/>
          <w:szCs w:val="24"/>
          <w:lang w:val="en"/>
        </w:rPr>
        <w:t xml:space="preserve"> pandemic. Kominfo report (2020) detected and fact</w:t>
      </w:r>
      <w:r w:rsidRPr="005D00CC">
        <w:rPr>
          <w:sz w:val="24"/>
          <w:szCs w:val="24"/>
          <w:lang w:val="en"/>
        </w:rPr>
        <w:t>-</w:t>
      </w:r>
      <w:r w:rsidR="00902209" w:rsidRPr="005D00CC">
        <w:rPr>
          <w:sz w:val="24"/>
          <w:szCs w:val="24"/>
          <w:lang w:val="en"/>
        </w:rPr>
        <w:t xml:space="preserve">checked more than almost 400 </w:t>
      </w:r>
      <w:r w:rsidRPr="005D00CC">
        <w:rPr>
          <w:sz w:val="24"/>
          <w:szCs w:val="24"/>
          <w:lang w:val="en"/>
        </w:rPr>
        <w:t>c</w:t>
      </w:r>
      <w:r w:rsidR="00902209" w:rsidRPr="005D00CC">
        <w:rPr>
          <w:sz w:val="24"/>
          <w:szCs w:val="24"/>
          <w:lang w:val="en"/>
        </w:rPr>
        <w:t xml:space="preserve">oronavirus-related hoaxes. The total </w:t>
      </w:r>
      <w:r w:rsidRPr="005D00CC">
        <w:rPr>
          <w:sz w:val="24"/>
          <w:szCs w:val="24"/>
          <w:lang w:val="en"/>
        </w:rPr>
        <w:t xml:space="preserve">of </w:t>
      </w:r>
      <w:r w:rsidR="00902209" w:rsidRPr="005D00CC">
        <w:rPr>
          <w:sz w:val="24"/>
          <w:szCs w:val="24"/>
          <w:lang w:val="en"/>
        </w:rPr>
        <w:t>hoaxes</w:t>
      </w:r>
      <w:r w:rsidRPr="005D00CC">
        <w:rPr>
          <w:sz w:val="24"/>
          <w:szCs w:val="24"/>
          <w:lang w:val="en"/>
        </w:rPr>
        <w:t xml:space="preserve"> news about Covid-19</w:t>
      </w:r>
      <w:r w:rsidR="00902209" w:rsidRPr="005D00CC">
        <w:rPr>
          <w:sz w:val="24"/>
          <w:szCs w:val="24"/>
          <w:lang w:val="en"/>
        </w:rPr>
        <w:t xml:space="preserve"> numbers w</w:t>
      </w:r>
      <w:r w:rsidRPr="005D00CC">
        <w:rPr>
          <w:sz w:val="24"/>
          <w:szCs w:val="24"/>
          <w:lang w:val="en"/>
        </w:rPr>
        <w:t>as</w:t>
      </w:r>
      <w:r w:rsidR="00902209" w:rsidRPr="005D00CC">
        <w:rPr>
          <w:sz w:val="24"/>
          <w:szCs w:val="24"/>
          <w:lang w:val="en"/>
        </w:rPr>
        <w:t xml:space="preserve"> collected from early January to the end of March 2020. </w:t>
      </w:r>
      <w:r w:rsidRPr="005D00CC">
        <w:rPr>
          <w:sz w:val="24"/>
          <w:szCs w:val="24"/>
          <w:lang w:val="en"/>
        </w:rPr>
        <w:t xml:space="preserve">It suggests that there were 6 to 7 hoaxes </w:t>
      </w:r>
      <w:r w:rsidR="00031383" w:rsidRPr="005D00CC">
        <w:rPr>
          <w:sz w:val="24"/>
          <w:szCs w:val="24"/>
          <w:lang w:val="en"/>
        </w:rPr>
        <w:t>o</w:t>
      </w:r>
      <w:r w:rsidRPr="005D00CC">
        <w:rPr>
          <w:sz w:val="24"/>
          <w:szCs w:val="24"/>
          <w:lang w:val="en"/>
        </w:rPr>
        <w:t>n average circulating daily during these three months</w:t>
      </w:r>
      <w:r w:rsidR="00902209" w:rsidRPr="005D00CC">
        <w:rPr>
          <w:sz w:val="24"/>
          <w:szCs w:val="24"/>
          <w:lang w:val="en"/>
        </w:rPr>
        <w:t>. Alongside the distribution of these hoaxes, the public encounter</w:t>
      </w:r>
      <w:r w:rsidR="00031383" w:rsidRPr="005D00CC">
        <w:rPr>
          <w:sz w:val="24"/>
          <w:szCs w:val="24"/>
          <w:lang w:val="en"/>
        </w:rPr>
        <w:t>s</w:t>
      </w:r>
      <w:r w:rsidR="00902209" w:rsidRPr="005D00CC">
        <w:rPr>
          <w:sz w:val="24"/>
          <w:szCs w:val="24"/>
          <w:lang w:val="en"/>
        </w:rPr>
        <w:t xml:space="preserve"> confusion as well. With more than 150 million Internet users, </w:t>
      </w:r>
      <w:r w:rsidRPr="005D00CC">
        <w:rPr>
          <w:sz w:val="24"/>
          <w:szCs w:val="24"/>
          <w:lang w:val="en"/>
        </w:rPr>
        <w:t>they used</w:t>
      </w:r>
      <w:r w:rsidR="00902209" w:rsidRPr="005D00CC">
        <w:rPr>
          <w:sz w:val="24"/>
          <w:szCs w:val="24"/>
          <w:lang w:val="en"/>
        </w:rPr>
        <w:t xml:space="preserve"> 8 hours daily through their smartphone</w:t>
      </w:r>
      <w:r w:rsidR="00031383" w:rsidRPr="005D00CC">
        <w:rPr>
          <w:sz w:val="24"/>
          <w:szCs w:val="24"/>
          <w:lang w:val="en"/>
        </w:rPr>
        <w:t>s</w:t>
      </w:r>
      <w:r w:rsidR="00902209" w:rsidRPr="005D00CC">
        <w:rPr>
          <w:sz w:val="24"/>
          <w:szCs w:val="24"/>
          <w:lang w:val="en"/>
        </w:rPr>
        <w:t>. Most Indonesian news or information sources come from YouTube, WhatsApp</w:t>
      </w:r>
      <w:r w:rsidR="00031383" w:rsidRPr="005D00CC">
        <w:rPr>
          <w:sz w:val="24"/>
          <w:szCs w:val="24"/>
          <w:lang w:val="en"/>
        </w:rPr>
        <w:t>,</w:t>
      </w:r>
      <w:r w:rsidR="00902209" w:rsidRPr="005D00CC">
        <w:rPr>
          <w:sz w:val="24"/>
          <w:szCs w:val="24"/>
          <w:lang w:val="en"/>
        </w:rPr>
        <w:t xml:space="preserve"> and Facebook. (We Are Social, 2019). Most Indonesian attitudes and traits create particular concern because of </w:t>
      </w:r>
      <w:r w:rsidRPr="005D00CC">
        <w:rPr>
          <w:sz w:val="24"/>
          <w:szCs w:val="24"/>
          <w:lang w:val="en"/>
        </w:rPr>
        <w:t>the platforms mentioned earlier' unreliable news or information source</w:t>
      </w:r>
      <w:r w:rsidR="00902209" w:rsidRPr="005D00CC">
        <w:rPr>
          <w:sz w:val="24"/>
          <w:szCs w:val="24"/>
          <w:lang w:val="en"/>
        </w:rPr>
        <w:t>s. Disinformation may spread even faster during the pandemic through social media.</w:t>
      </w:r>
      <w:r w:rsidRPr="005D00CC">
        <w:rPr>
          <w:sz w:val="24"/>
          <w:szCs w:val="24"/>
          <w:lang w:val="en"/>
        </w:rPr>
        <w:t xml:space="preserve"> In line with </w:t>
      </w:r>
      <w:r w:rsidR="00031383" w:rsidRPr="005D00CC">
        <w:rPr>
          <w:sz w:val="24"/>
          <w:szCs w:val="24"/>
          <w:lang w:val="en"/>
        </w:rPr>
        <w:t xml:space="preserve">the </w:t>
      </w:r>
      <w:r w:rsidRPr="005D00CC">
        <w:rPr>
          <w:sz w:val="24"/>
          <w:szCs w:val="24"/>
          <w:lang w:val="en"/>
        </w:rPr>
        <w:t>research of</w:t>
      </w:r>
      <w:r w:rsidR="00031383" w:rsidRPr="005D00CC">
        <w:rPr>
          <w:sz w:val="24"/>
          <w:szCs w:val="24"/>
          <w:lang w:val="en"/>
        </w:rPr>
        <w:t xml:space="preserve"> Mansur et al. </w:t>
      </w:r>
      <w:r w:rsidR="00031383" w:rsidRPr="005D00CC">
        <w:rPr>
          <w:sz w:val="24"/>
          <w:szCs w:val="24"/>
          <w:lang w:val="en"/>
        </w:rPr>
        <w:fldChar w:fldCharType="begin" w:fldLock="1"/>
      </w:r>
      <w:r w:rsidR="00031383" w:rsidRPr="005D00CC">
        <w:rPr>
          <w:sz w:val="24"/>
          <w:szCs w:val="24"/>
          <w:lang w:val="en"/>
        </w:rPr>
        <w:instrText>ADDIN CSL_CITATION { "citationItems" : [ { "id" : "ITEM-1", "itemData" : { "author" : [ { "dropping-particle" : "", "family" : "Mansur", "given" : "Suraya", "non-dropping-particle" : "", "parse-names" : false, "suffix" : "" }, { "dropping-particle" : "", "family" : "Saragih", "given" : "Nurhayani", "non-dropping-particle" : "", "parse-names" : false, "suffix" : "" }, { "dropping-particle" : "", "family" : "Ritonga", "given" : "Rajab", "non-dropping-particle" : "", "parse-names" : false, "suffix" : "" }, { "dropping-particle" : "", "family" : "Damayanti", "given" : "Novita", "non-dropping-particle" : "", "parse-names" : false, "suffix" : "" } ], "id" : "ITEM-1", "issue" : "1", "issued" : { "date-parts" : [ [ "2021" ] ] }, "page" : "29-41", "title" : "Fake News on Social Media and Adolescent \u2019 s Cognition Berita Palsu di Media Sosial dan Kognisi Remaja", "type" : "article-journal", "volume" : "6" }, "uris" : [ "http://www.mendeley.com/documents/?uuid=6a6e4acd-6c95-4f63-81a8-74f9afb7f8a0" ] } ], "mendeley" : { "formattedCitation" : "(Mansur, Saragih, Ritonga, &amp; Damayanti, 2021)", "manualFormatting" : "(2021)", "plainTextFormattedCitation" : "(Mansur, Saragih, Ritonga, &amp; Damayanti, 2021)", "previouslyFormattedCitation" : "(Mansur, Saragih, Ritonga, &amp; Damayanti, 2021)" }, "properties" : { "noteIndex" : 3 }, "schema" : "https://github.com/citation-style-language/schema/raw/master/csl-citation.json" }</w:instrText>
      </w:r>
      <w:r w:rsidR="00031383" w:rsidRPr="005D00CC">
        <w:rPr>
          <w:sz w:val="24"/>
          <w:szCs w:val="24"/>
          <w:lang w:val="en"/>
        </w:rPr>
        <w:fldChar w:fldCharType="separate"/>
      </w:r>
      <w:r w:rsidR="00031383" w:rsidRPr="005D00CC">
        <w:rPr>
          <w:noProof/>
          <w:sz w:val="24"/>
          <w:szCs w:val="24"/>
          <w:lang w:val="en"/>
        </w:rPr>
        <w:t>(2021)</w:t>
      </w:r>
      <w:r w:rsidR="00031383" w:rsidRPr="005D00CC">
        <w:rPr>
          <w:sz w:val="24"/>
          <w:szCs w:val="24"/>
          <w:lang w:val="en"/>
        </w:rPr>
        <w:fldChar w:fldCharType="end"/>
      </w:r>
      <w:r w:rsidR="00031383" w:rsidRPr="005D00CC">
        <w:rPr>
          <w:sz w:val="24"/>
          <w:szCs w:val="24"/>
          <w:lang w:val="en"/>
        </w:rPr>
        <w:t>, the spread of fake news through social media because people do not understand the content of the news</w:t>
      </w:r>
    </w:p>
    <w:p w14:paraId="71D68BB8" w14:textId="2B63F474" w:rsidR="00172A50" w:rsidRPr="00B20B70" w:rsidRDefault="00172A50" w:rsidP="00031383">
      <w:pPr>
        <w:pStyle w:val="BodyText"/>
        <w:ind w:firstLine="425"/>
        <w:jc w:val="both"/>
        <w:rPr>
          <w:color w:val="000000" w:themeColor="text1"/>
          <w:sz w:val="24"/>
          <w:szCs w:val="24"/>
        </w:rPr>
      </w:pPr>
      <w:r w:rsidRPr="005D00CC">
        <w:rPr>
          <w:sz w:val="24"/>
          <w:szCs w:val="24"/>
        </w:rPr>
        <w:t>Disinformation may be circulated when false information is consciously shared by someone to cause others harm</w:t>
      </w:r>
      <w:r w:rsidR="00031383" w:rsidRPr="005D00CC">
        <w:rPr>
          <w:sz w:val="24"/>
          <w:szCs w:val="24"/>
        </w:rPr>
        <w:fldChar w:fldCharType="begin" w:fldLock="1"/>
      </w:r>
      <w:r w:rsidR="00031383" w:rsidRPr="005D00CC">
        <w:rPr>
          <w:sz w:val="24"/>
          <w:szCs w:val="24"/>
        </w:rPr>
        <w:instrText>ADDIN CSL_CITATION { "citationItems" : [ { "id" : "ITEM-1", "itemData" : { "DOI" : "10.1080/10584609.2019.1686094", "ISSN" : "10917675", "abstract" : "Disinformation campaigns such as those perpetrated by far-right groups in the United States seek to erode democratic social institutions. Looking to understand these phenomena, previous models of disinformation have emphasized identity-confirmation and misleading presentation of facts to explain why such disinformation is shared. A risk of these accounts, which conjure images of echo chambers and filter bubbles, is portraying people who accept disinformation as relatively passive recipients or conduits. Here we conduct a case study of tactics of disinformation to show how platform design and decentralized communication contribute to advancing the spread of disinformation even when that disinformation is continuously and actively challenged where it appears. Contrary to a view of disinformation flowing within homogeneous echo chambers, in our case study we observe substantial skepticism against disinformation narratives as they form. To examine how disinformation spreads amidst skepticism in this case, we employ a document-driven multi-site trace ethnography to analyze a contested rumor that crossed anonymous message boards, the conservative media ecosystem, and other platforms. We identify two important factors that filtered out skepticism and contested explanations, which facilitated the transformation of this rumor into a disinformation campaign: (1) the aggregation of information into evidence collages\u2014image files that aggregate positive evidence\u2014and (2) platform filtering\u2014the decontextualization of information as these claims crossed platforms. Our findings provide an elucidation of \u201ctrading up the chain\u201d dynamics explored by previous researchers and a counterpoint to the relatively mechanistic accounts of passive disinformation propagation that dominate the quantitative literature. We conclude with a discussion of how these factors relate to the communication power available to disparate groups at different times, as well as practical implications for inferring intent from social media traces and practical implications for the design of social media platforms.", "author" : [ { "dropping-particle" : "", "family" : "Krafft", "given" : "P. M.", "non-dropping-particle" : "", "parse-names" : false, "suffix" : "" }, { "dropping-particle" : "", "family" : "Donovan", "given" : "Joan", "non-dropping-particle" : "", "parse-names" : false, "suffix" : "" } ], "container-title" : "Political Communication", "id" : "ITEM-1", "issue" : "2", "issued" : { "date-parts" : [ [ "2020" ] ] }, "page" : "194-214", "publisher" : "Routledge", "title" : "Disinformation by Design: The Use of Evidence Collages and Platform Filtering in a Media Manipulation Campaign", "type" : "article-journal", "volume" : "37" }, "uris" : [ "http://www.mendeley.com/documents/?uuid=0651cd70-71f3-4a6a-a599-c2c1a05c3968" ] } ], "mendeley" : { "formattedCitation" : "(Krafft &amp; Donovan, 2020)", "plainTextFormattedCitation" : "(Krafft &amp; Donovan, 2020)", "previouslyFormattedCitation" : "(Krafft &amp; Donovan, 2020)" }, "properties" : { "noteIndex" : 3 }, "schema" : "https://github.com/citation-style-language/schema/raw/master/csl-citation.json" }</w:instrText>
      </w:r>
      <w:r w:rsidR="00031383" w:rsidRPr="005D00CC">
        <w:rPr>
          <w:sz w:val="24"/>
          <w:szCs w:val="24"/>
        </w:rPr>
        <w:fldChar w:fldCharType="separate"/>
      </w:r>
      <w:r w:rsidR="00031383" w:rsidRPr="005D00CC">
        <w:rPr>
          <w:noProof/>
          <w:sz w:val="24"/>
          <w:szCs w:val="24"/>
        </w:rPr>
        <w:t>(Krafft &amp; Donovan, 2020)</w:t>
      </w:r>
      <w:r w:rsidR="00031383" w:rsidRPr="005D00CC">
        <w:rPr>
          <w:sz w:val="24"/>
          <w:szCs w:val="24"/>
        </w:rPr>
        <w:fldChar w:fldCharType="end"/>
      </w:r>
      <w:r w:rsidRPr="005D00CC">
        <w:rPr>
          <w:sz w:val="24"/>
          <w:szCs w:val="24"/>
        </w:rPr>
        <w:t xml:space="preserve">. The sharer knows precisely the information is incorrect but intentionally share it </w:t>
      </w:r>
      <w:r w:rsidRPr="005D00CC">
        <w:rPr>
          <w:sz w:val="24"/>
          <w:szCs w:val="24"/>
          <w:lang w:val="en-US"/>
        </w:rPr>
        <w:t>regardless</w:t>
      </w:r>
      <w:r w:rsidRPr="005D00CC">
        <w:rPr>
          <w:sz w:val="24"/>
          <w:szCs w:val="24"/>
        </w:rPr>
        <w:t xml:space="preserve">. At the same time, mal-information is when factual information is shared to cause damage. </w:t>
      </w:r>
      <w:r w:rsidRPr="005D00CC">
        <w:rPr>
          <w:sz w:val="24"/>
          <w:szCs w:val="24"/>
          <w:lang w:val="en-US"/>
        </w:rPr>
        <w:t>Such as s</w:t>
      </w:r>
      <w:r w:rsidRPr="005D00CC">
        <w:rPr>
          <w:sz w:val="24"/>
          <w:szCs w:val="24"/>
        </w:rPr>
        <w:t xml:space="preserve">omeone has intentionally distributed the half-true information to the public to spark curiosity. </w:t>
      </w:r>
      <w:r w:rsidRPr="005D00CC">
        <w:rPr>
          <w:sz w:val="24"/>
          <w:szCs w:val="24"/>
          <w:lang w:val="en-US"/>
        </w:rPr>
        <w:t>On the other side, the</w:t>
      </w:r>
      <w:r w:rsidRPr="005D00CC">
        <w:rPr>
          <w:sz w:val="24"/>
          <w:szCs w:val="24"/>
        </w:rPr>
        <w:t xml:space="preserve"> interest usually focused on </w:t>
      </w:r>
      <w:r w:rsidR="00031383" w:rsidRPr="005D00CC">
        <w:rPr>
          <w:sz w:val="24"/>
          <w:szCs w:val="24"/>
        </w:rPr>
        <w:t>the private life behind</w:t>
      </w:r>
      <w:r w:rsidRPr="005D00CC">
        <w:rPr>
          <w:sz w:val="24"/>
          <w:szCs w:val="24"/>
        </w:rPr>
        <w:t xml:space="preserve"> </w:t>
      </w:r>
      <w:r w:rsidR="00031383" w:rsidRPr="005D00CC">
        <w:rPr>
          <w:sz w:val="24"/>
          <w:szCs w:val="24"/>
        </w:rPr>
        <w:t xml:space="preserve">the </w:t>
      </w:r>
      <w:r w:rsidRPr="005D00CC">
        <w:rPr>
          <w:sz w:val="24"/>
          <w:szCs w:val="24"/>
        </w:rPr>
        <w:t>phenomena (Wardle &amp; Derakhshan, 2017).</w:t>
      </w:r>
      <w:r w:rsidRPr="005D00CC">
        <w:rPr>
          <w:sz w:val="24"/>
          <w:szCs w:val="24"/>
          <w:lang w:val="en-US"/>
        </w:rPr>
        <w:t xml:space="preserve"> Therefore, </w:t>
      </w:r>
      <w:r w:rsidRPr="005D00CC">
        <w:rPr>
          <w:sz w:val="24"/>
          <w:szCs w:val="24"/>
        </w:rPr>
        <w:t xml:space="preserve">Bradshaw and Howard (2018) reported disinformation as part of computational propaganda in The Global Disinformation Order from Oxford Internet Institute. The countries covered in this report were 70 countries in 2019. In March 2019, </w:t>
      </w:r>
      <w:r w:rsidRPr="005D00CC">
        <w:rPr>
          <w:sz w:val="24"/>
          <w:szCs w:val="24"/>
          <w:lang w:val="en-US"/>
        </w:rPr>
        <w:t xml:space="preserve">on </w:t>
      </w:r>
      <w:r w:rsidRPr="005D00CC">
        <w:rPr>
          <w:sz w:val="24"/>
          <w:szCs w:val="24"/>
        </w:rPr>
        <w:t>Presidential Election, 453 hoaxes were on average</w:t>
      </w:r>
      <w:r w:rsidR="00031383" w:rsidRPr="005D00CC">
        <w:rPr>
          <w:sz w:val="24"/>
          <w:szCs w:val="24"/>
        </w:rPr>
        <w:t>;</w:t>
      </w:r>
      <w:r w:rsidRPr="005D00CC">
        <w:rPr>
          <w:sz w:val="24"/>
          <w:szCs w:val="24"/>
        </w:rPr>
        <w:t xml:space="preserve"> there were 15 hoaxes daily (</w:t>
      </w:r>
      <w:r w:rsidR="00031383" w:rsidRPr="005D00CC">
        <w:rPr>
          <w:sz w:val="24"/>
          <w:szCs w:val="24"/>
          <w:lang w:val="en-US"/>
        </w:rPr>
        <w:t>Kominfo</w:t>
      </w:r>
      <w:r w:rsidRPr="005D00CC">
        <w:rPr>
          <w:sz w:val="24"/>
          <w:szCs w:val="24"/>
        </w:rPr>
        <w:t>, 2019). Since then, disinformation has become part of</w:t>
      </w:r>
      <w:r w:rsidRPr="005D00CC">
        <w:rPr>
          <w:sz w:val="24"/>
          <w:szCs w:val="24"/>
          <w:lang w:val="en-US"/>
        </w:rPr>
        <w:t xml:space="preserve"> our </w:t>
      </w:r>
      <w:r w:rsidRPr="005D00CC">
        <w:rPr>
          <w:sz w:val="24"/>
          <w:szCs w:val="24"/>
        </w:rPr>
        <w:t xml:space="preserve">social media life </w:t>
      </w:r>
      <w:r w:rsidRPr="005D00CC">
        <w:rPr>
          <w:sz w:val="24"/>
          <w:szCs w:val="24"/>
          <w:lang w:val="en-US"/>
        </w:rPr>
        <w:t>in</w:t>
      </w:r>
      <w:r w:rsidRPr="005D00CC">
        <w:rPr>
          <w:sz w:val="24"/>
          <w:szCs w:val="24"/>
        </w:rPr>
        <w:t xml:space="preserve"> Indonesia. During this Covid-19 pandemic, hoaxes in the form of </w:t>
      </w:r>
      <w:r w:rsidR="00031383" w:rsidRPr="005D00CC">
        <w:rPr>
          <w:sz w:val="24"/>
          <w:szCs w:val="24"/>
        </w:rPr>
        <w:t>rumor</w:t>
      </w:r>
      <w:r w:rsidRPr="005D00CC">
        <w:rPr>
          <w:sz w:val="24"/>
          <w:szCs w:val="24"/>
        </w:rPr>
        <w:t xml:space="preserve">s have widely spread </w:t>
      </w:r>
      <w:r w:rsidR="00031383" w:rsidRPr="005D00CC">
        <w:rPr>
          <w:sz w:val="24"/>
          <w:szCs w:val="24"/>
        </w:rPr>
        <w:t>o</w:t>
      </w:r>
      <w:r w:rsidRPr="005D00CC">
        <w:rPr>
          <w:sz w:val="24"/>
          <w:szCs w:val="24"/>
        </w:rPr>
        <w:t>n social media</w:t>
      </w:r>
      <w:r w:rsidRPr="00B20B70">
        <w:rPr>
          <w:color w:val="000000" w:themeColor="text1"/>
          <w:sz w:val="24"/>
          <w:szCs w:val="24"/>
        </w:rPr>
        <w:t>.</w:t>
      </w:r>
    </w:p>
    <w:p w14:paraId="11B5656A" w14:textId="7AB5EBA9" w:rsidR="00902209" w:rsidRPr="00B20B70" w:rsidRDefault="00172A50" w:rsidP="00172A50">
      <w:pPr>
        <w:pStyle w:val="BodyText"/>
        <w:spacing w:before="1"/>
        <w:ind w:firstLine="709"/>
        <w:jc w:val="both"/>
        <w:rPr>
          <w:color w:val="000000" w:themeColor="text1"/>
          <w:sz w:val="24"/>
          <w:szCs w:val="24"/>
          <w:lang w:val="en-US"/>
        </w:rPr>
      </w:pPr>
      <w:r w:rsidRPr="00B20B70">
        <w:rPr>
          <w:color w:val="000000" w:themeColor="text1"/>
          <w:sz w:val="24"/>
          <w:szCs w:val="24"/>
          <w:lang w:val="en-US"/>
        </w:rPr>
        <w:t xml:space="preserve">Based on previous research, researchers aim to map the distribution of disinformation related to the Covid-19 pandemic. Researchers are trying to find variations of disinformation from January to March 2020, according to the Kominfo clarification report. Furthermore, the researchers analyzed hoax content using content analysis techniques. Meanwhile, content analysis is carried out through </w:t>
      </w:r>
      <w:r w:rsidR="00031383">
        <w:rPr>
          <w:color w:val="000000" w:themeColor="text1"/>
          <w:sz w:val="24"/>
          <w:szCs w:val="24"/>
          <w:lang w:val="en-US"/>
        </w:rPr>
        <w:t>rumors</w:t>
      </w:r>
      <w:r w:rsidRPr="00B20B70">
        <w:rPr>
          <w:color w:val="000000" w:themeColor="text1"/>
          <w:sz w:val="24"/>
          <w:szCs w:val="24"/>
          <w:lang w:val="en-US"/>
        </w:rPr>
        <w:t xml:space="preserve"> theory. </w:t>
      </w:r>
      <w:r w:rsidRPr="00B20B70">
        <w:rPr>
          <w:color w:val="000000" w:themeColor="text1"/>
          <w:sz w:val="24"/>
          <w:szCs w:val="24"/>
          <w:lang w:val="en-US"/>
        </w:rPr>
        <w:lastRenderedPageBreak/>
        <w:t>The research question of this study is how to map disinformation related to the Covid-19 pandemic?</w:t>
      </w:r>
    </w:p>
    <w:p w14:paraId="058BE416" w14:textId="7519EDB9" w:rsidR="00170744" w:rsidRPr="00B20B70" w:rsidRDefault="00170744" w:rsidP="00172A50">
      <w:pPr>
        <w:pStyle w:val="Default"/>
        <w:jc w:val="both"/>
        <w:rPr>
          <w:rFonts w:cs="Times New Roman"/>
          <w:lang w:val="id-ID"/>
        </w:rPr>
      </w:pPr>
    </w:p>
    <w:p w14:paraId="3888F774" w14:textId="651D2D69" w:rsidR="00667F63" w:rsidRPr="00031383" w:rsidRDefault="00172A50" w:rsidP="0082105F">
      <w:pPr>
        <w:jc w:val="both"/>
        <w:rPr>
          <w:b/>
          <w:sz w:val="24"/>
          <w:szCs w:val="24"/>
        </w:rPr>
      </w:pPr>
      <w:r w:rsidRPr="00B20B70">
        <w:rPr>
          <w:b/>
          <w:sz w:val="24"/>
          <w:szCs w:val="24"/>
        </w:rPr>
        <w:t>Methodology</w:t>
      </w:r>
    </w:p>
    <w:p w14:paraId="73CD6F28" w14:textId="6B9DBE0E" w:rsidR="00172A50" w:rsidRPr="00B20B70" w:rsidRDefault="00172A50" w:rsidP="00D12638">
      <w:pPr>
        <w:ind w:firstLine="720"/>
        <w:jc w:val="both"/>
        <w:rPr>
          <w:b/>
          <w:sz w:val="24"/>
          <w:szCs w:val="24"/>
        </w:rPr>
      </w:pPr>
      <w:r w:rsidRPr="00B20B70">
        <w:rPr>
          <w:sz w:val="24"/>
          <w:szCs w:val="24"/>
        </w:rPr>
        <w:t xml:space="preserve">This research is a literature review with the subject of a report from the Directorate General of Informatics Applications, Ministry of Communication and Informatics of the Republic of Indonesia with the title Hoax Issue Report in 2020. To map disinformation During the Covid-19, the researcher used </w:t>
      </w:r>
      <w:r w:rsidR="00031383" w:rsidRPr="00B20B70">
        <w:rPr>
          <w:sz w:val="24"/>
          <w:szCs w:val="24"/>
        </w:rPr>
        <w:t>qualitative content analysis</w:t>
      </w:r>
      <w:r w:rsidR="00031383">
        <w:rPr>
          <w:sz w:val="24"/>
          <w:szCs w:val="24"/>
        </w:rPr>
        <w:fldChar w:fldCharType="begin" w:fldLock="1"/>
      </w:r>
      <w:r w:rsidR="00031383">
        <w:rPr>
          <w:sz w:val="24"/>
          <w:szCs w:val="24"/>
        </w:rPr>
        <w:instrText>ADDIN CSL_CITATION { "citationItems" : [ { "id" : "ITEM-1", "itemData" : { "DOI" : "10.1080/10508619.2020.1793593", "ISSN" : "15327582", "abstract" : "Grace is a central theme in religious traditions but receives only recently attention by psychologists. Conceptualizations of grace seem predominantly constructed within theological and theoretical frameworks, whereas these conceptualizations may be poorly aligned with the definitions of grace of lay persons. This study clarifies the concept of grace and creates a bottom-up definition, based on the understanding of non-experts in a secularized society. A total of 456 Belgian adults (64% female, mean age\u00a0=\u00a050.04) provided descriptions of grace in an online survey. A multidisciplinary coding team conducted quantitative and qualitative content analysis (Nvivo). The following themes and categories emerged (1) virtuous qualities: grace is recognized in a multitude of good qualities with forgiveness as the ultimate example; (2) extra-ordinary gift: grace is something you receive unmerited, the nature of the giving goes beyond mere fair exchange; (3) transcendent and immanent setting: grace is encountered in the realm of the divine as well as in human relationships and daily life; (4) profound experience: the giving and receiving of grace entails an articulated personal involvement leading to new beginnings and freedom and (5) profound feelings: the experience of grace is accompanied with positive feelings and states often preceded by negative feelings and states. Distribution of categories by respondent\u2019s age, gender, and religiosity showed robustness of underlying characteristics in the definition of grace. However, significant group differences are found: believing and older participants described more often extra-ordinary and transcendent characteristics, whereas nonbelievers used more referrals to faults and forgiveness. Believing people used more positive feelings and women used more virtuous qualities in describing grace. The importance of further investigating the psychological dynamics of grace and its capacity for enhancing well-being is highlighted.", "author" : [ { "dropping-particle" : "", "family" : "Schellekens", "given" : "Tine", "non-dropping-particle" : "", "parse-names" : false, "suffix" : "" }, { "dropping-particle" : "", "family" : "Dillen", "given" : "Annemie", "non-dropping-particle" : "", "parse-names" : false, "suffix" : "" }, { "dropping-particle" : "", "family" : "Dewitte", "given" : "Laura", "non-dropping-particle" : "", "parse-names" : false, "suffix" : "" }, { "dropping-particle" : "", "family" : "Dezutter", "given" : "Jessie", "non-dropping-particle" : "", "parse-names" : false, "suffix" : "" } ], "container-title" : "International Journal for the Psychology of Religion", "id" : "ITEM-1", "issue" : "00", "issued" : { "date-parts" : [ [ "2020" ] ] }, "page" : "1-23", "publisher" : "Routledge", "title" : "A Lay Definition of Grace: A Quantitative and Qualitative Content Analysis", "type" : "article-journal", "volume" : "00" }, "uris" : [ "http://www.mendeley.com/documents/?uuid=343f5000-1a8a-4b0a-8a7c-83ac0ca33320" ] } ], "mendeley" : { "formattedCitation" : "(Schellekens, Dillen, Dewitte, &amp; Dezutter, 2020)", "plainTextFormattedCitation" : "(Schellekens, Dillen, Dewitte, &amp; Dezutter, 2020)", "previouslyFormattedCitation" : "(Schellekens, Dillen, Dewitte, &amp; Dezutter, 2020)" }, "properties" : { "noteIndex" : 4 }, "schema" : "https://github.com/citation-style-language/schema/raw/master/csl-citation.json" }</w:instrText>
      </w:r>
      <w:r w:rsidR="00031383">
        <w:rPr>
          <w:sz w:val="24"/>
          <w:szCs w:val="24"/>
        </w:rPr>
        <w:fldChar w:fldCharType="separate"/>
      </w:r>
      <w:r w:rsidR="00031383" w:rsidRPr="00031383">
        <w:rPr>
          <w:noProof/>
          <w:sz w:val="24"/>
          <w:szCs w:val="24"/>
        </w:rPr>
        <w:t>(Schellekens, Dillen, Dewitte, &amp; Dezutter, 2020)</w:t>
      </w:r>
      <w:r w:rsidR="00031383">
        <w:rPr>
          <w:sz w:val="24"/>
          <w:szCs w:val="24"/>
        </w:rPr>
        <w:fldChar w:fldCharType="end"/>
      </w:r>
      <w:r w:rsidRPr="00B20B70">
        <w:rPr>
          <w:sz w:val="24"/>
          <w:szCs w:val="24"/>
        </w:rPr>
        <w:t>. The analysis was carried out to examine current trends and patterns, namely the Covid-19 pandemic, as an empirical basis for monitoring shifts in public opinion. This analytical technique is useful and meaningful because it relies on coding and categorizing data related to disinformation in Covid-19 events. This research is based on the Ministry of Communication and Information of the Republic of Indonesia in 2020 regarding the hoax issue of the Covid-19. This study uses a qualitative descriptive method with a content analysis technique approach because the data to be studied requires a descriptive explanation. The following are the categories and sub</w:t>
      </w:r>
      <w:r w:rsidR="005D00CC">
        <w:rPr>
          <w:sz w:val="24"/>
          <w:szCs w:val="24"/>
        </w:rPr>
        <w:t>-</w:t>
      </w:r>
      <w:r w:rsidRPr="00B20B70">
        <w:rPr>
          <w:sz w:val="24"/>
          <w:szCs w:val="24"/>
        </w:rPr>
        <w:t>categories of analysis data:</w:t>
      </w:r>
    </w:p>
    <w:p w14:paraId="7AC6BCCF" w14:textId="77777777" w:rsidR="00902209" w:rsidRPr="00B20B70" w:rsidRDefault="00902209" w:rsidP="00902209">
      <w:pPr>
        <w:pStyle w:val="BodyText"/>
        <w:rPr>
          <w:color w:val="000000" w:themeColor="text1"/>
          <w:sz w:val="24"/>
          <w:szCs w:val="24"/>
        </w:rPr>
      </w:pPr>
    </w:p>
    <w:p w14:paraId="7EF796E4" w14:textId="1D90FFBF" w:rsidR="00902209" w:rsidRPr="00B20B70" w:rsidRDefault="00902209" w:rsidP="00D12638">
      <w:pPr>
        <w:pStyle w:val="BodyText"/>
        <w:contextualSpacing/>
        <w:jc w:val="center"/>
        <w:rPr>
          <w:color w:val="000000" w:themeColor="text1"/>
          <w:sz w:val="24"/>
          <w:szCs w:val="24"/>
          <w:lang w:val="en-US"/>
        </w:rPr>
      </w:pPr>
      <w:r w:rsidRPr="00B20B70">
        <w:rPr>
          <w:color w:val="000000" w:themeColor="text1"/>
          <w:sz w:val="24"/>
          <w:szCs w:val="24"/>
        </w:rPr>
        <w:t>Table 1. Categories and Sub</w:t>
      </w:r>
      <w:r w:rsidR="005D00CC">
        <w:rPr>
          <w:color w:val="000000" w:themeColor="text1"/>
          <w:sz w:val="24"/>
          <w:szCs w:val="24"/>
        </w:rPr>
        <w:t>-</w:t>
      </w:r>
      <w:r w:rsidRPr="00B20B70">
        <w:rPr>
          <w:color w:val="000000" w:themeColor="text1"/>
          <w:sz w:val="24"/>
          <w:szCs w:val="24"/>
        </w:rPr>
        <w:t>categories of The Data</w:t>
      </w:r>
      <w:r w:rsidR="00172A50" w:rsidRPr="00B20B70">
        <w:rPr>
          <w:color w:val="000000" w:themeColor="text1"/>
          <w:sz w:val="24"/>
          <w:szCs w:val="24"/>
          <w:lang w:val="en-US"/>
        </w:rPr>
        <w:t xml:space="preserve"> (Source: Kominfo (2020))</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54"/>
        <w:gridCol w:w="2583"/>
        <w:gridCol w:w="1642"/>
        <w:gridCol w:w="774"/>
        <w:gridCol w:w="3156"/>
      </w:tblGrid>
      <w:tr w:rsidR="00902209" w:rsidRPr="00B20B70" w14:paraId="4D925C7D" w14:textId="77777777" w:rsidTr="004226CF">
        <w:trPr>
          <w:trHeight w:val="264"/>
        </w:trPr>
        <w:tc>
          <w:tcPr>
            <w:tcW w:w="0" w:type="auto"/>
            <w:shd w:val="clear" w:color="auto" w:fill="auto"/>
            <w:tcMar>
              <w:top w:w="100" w:type="dxa"/>
              <w:left w:w="100" w:type="dxa"/>
              <w:bottom w:w="100" w:type="dxa"/>
              <w:right w:w="100" w:type="dxa"/>
            </w:tcMar>
          </w:tcPr>
          <w:p w14:paraId="7B64977E"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No.</w:t>
            </w:r>
          </w:p>
        </w:tc>
        <w:tc>
          <w:tcPr>
            <w:tcW w:w="0" w:type="auto"/>
            <w:shd w:val="clear" w:color="auto" w:fill="auto"/>
            <w:tcMar>
              <w:top w:w="100" w:type="dxa"/>
              <w:left w:w="100" w:type="dxa"/>
              <w:bottom w:w="100" w:type="dxa"/>
              <w:right w:w="100" w:type="dxa"/>
            </w:tcMar>
          </w:tcPr>
          <w:p w14:paraId="5D14C7EA"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Categories</w:t>
            </w:r>
          </w:p>
        </w:tc>
        <w:tc>
          <w:tcPr>
            <w:tcW w:w="0" w:type="auto"/>
            <w:shd w:val="clear" w:color="auto" w:fill="auto"/>
            <w:tcMar>
              <w:top w:w="100" w:type="dxa"/>
              <w:left w:w="100" w:type="dxa"/>
              <w:bottom w:w="100" w:type="dxa"/>
              <w:right w:w="100" w:type="dxa"/>
            </w:tcMar>
          </w:tcPr>
          <w:p w14:paraId="014641B1" w14:textId="5EB00226" w:rsidR="00902209" w:rsidRPr="00B20B70" w:rsidRDefault="00902209"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Sub</w:t>
            </w:r>
            <w:r w:rsidR="005D00CC">
              <w:rPr>
                <w:color w:val="000000" w:themeColor="text1"/>
                <w:sz w:val="24"/>
                <w:szCs w:val="24"/>
              </w:rPr>
              <w:t>-</w:t>
            </w:r>
            <w:r w:rsidRPr="00B20B70">
              <w:rPr>
                <w:color w:val="000000" w:themeColor="text1"/>
                <w:sz w:val="24"/>
                <w:szCs w:val="24"/>
              </w:rPr>
              <w:t>categories</w:t>
            </w:r>
          </w:p>
        </w:tc>
        <w:tc>
          <w:tcPr>
            <w:tcW w:w="0" w:type="auto"/>
            <w:shd w:val="clear" w:color="auto" w:fill="auto"/>
            <w:tcMar>
              <w:top w:w="100" w:type="dxa"/>
              <w:left w:w="100" w:type="dxa"/>
              <w:bottom w:w="100" w:type="dxa"/>
              <w:right w:w="100" w:type="dxa"/>
            </w:tcMar>
          </w:tcPr>
          <w:p w14:paraId="7F52C311"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Code</w:t>
            </w:r>
          </w:p>
        </w:tc>
        <w:tc>
          <w:tcPr>
            <w:tcW w:w="0" w:type="auto"/>
            <w:shd w:val="clear" w:color="auto" w:fill="auto"/>
            <w:tcMar>
              <w:top w:w="100" w:type="dxa"/>
              <w:left w:w="100" w:type="dxa"/>
              <w:bottom w:w="100" w:type="dxa"/>
              <w:right w:w="100" w:type="dxa"/>
            </w:tcMar>
          </w:tcPr>
          <w:p w14:paraId="251263FB"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Meaning</w:t>
            </w:r>
          </w:p>
        </w:tc>
      </w:tr>
      <w:tr w:rsidR="00902209" w:rsidRPr="00B20B70" w14:paraId="671BFF1F" w14:textId="77777777" w:rsidTr="004226CF">
        <w:trPr>
          <w:trHeight w:val="410"/>
        </w:trPr>
        <w:tc>
          <w:tcPr>
            <w:tcW w:w="0" w:type="auto"/>
            <w:vMerge w:val="restart"/>
            <w:shd w:val="clear" w:color="auto" w:fill="auto"/>
            <w:tcMar>
              <w:top w:w="100" w:type="dxa"/>
              <w:left w:w="100" w:type="dxa"/>
              <w:bottom w:w="100" w:type="dxa"/>
              <w:right w:w="100" w:type="dxa"/>
            </w:tcMar>
          </w:tcPr>
          <w:p w14:paraId="02F30C1E" w14:textId="77777777" w:rsidR="00902209" w:rsidRPr="00B20B70" w:rsidRDefault="00902209" w:rsidP="00D12638">
            <w:pPr>
              <w:pBdr>
                <w:top w:val="nil"/>
                <w:left w:val="nil"/>
                <w:bottom w:val="nil"/>
                <w:right w:val="nil"/>
                <w:between w:val="nil"/>
              </w:pBdr>
              <w:ind w:right="-15"/>
              <w:contextualSpacing/>
              <w:jc w:val="center"/>
              <w:rPr>
                <w:color w:val="000000" w:themeColor="text1"/>
                <w:sz w:val="24"/>
                <w:szCs w:val="24"/>
                <w:lang w:val="id-ID"/>
              </w:rPr>
            </w:pPr>
            <w:r w:rsidRPr="00B20B70">
              <w:rPr>
                <w:color w:val="000000" w:themeColor="text1"/>
                <w:sz w:val="24"/>
                <w:szCs w:val="24"/>
                <w:lang w:val="id-ID"/>
              </w:rPr>
              <w:t>1.</w:t>
            </w:r>
          </w:p>
        </w:tc>
        <w:tc>
          <w:tcPr>
            <w:tcW w:w="0" w:type="auto"/>
            <w:vMerge w:val="restart"/>
            <w:shd w:val="clear" w:color="auto" w:fill="auto"/>
            <w:tcMar>
              <w:top w:w="100" w:type="dxa"/>
              <w:left w:w="100" w:type="dxa"/>
              <w:bottom w:w="100" w:type="dxa"/>
              <w:right w:w="100" w:type="dxa"/>
            </w:tcMar>
          </w:tcPr>
          <w:p w14:paraId="4124932B" w14:textId="27E4CDE2"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What: The subject of the hoax</w:t>
            </w:r>
            <w:r w:rsidR="00031383">
              <w:rPr>
                <w:color w:val="000000" w:themeColor="text1"/>
                <w:sz w:val="24"/>
                <w:szCs w:val="24"/>
              </w:rPr>
              <w:t>'</w:t>
            </w:r>
            <w:r w:rsidRPr="00B20B70">
              <w:rPr>
                <w:color w:val="000000" w:themeColor="text1"/>
                <w:sz w:val="24"/>
                <w:szCs w:val="24"/>
              </w:rPr>
              <w:t>s utterances or sentences.</w:t>
            </w:r>
          </w:p>
        </w:tc>
        <w:tc>
          <w:tcPr>
            <w:tcW w:w="0" w:type="auto"/>
            <w:shd w:val="clear" w:color="auto" w:fill="auto"/>
            <w:tcMar>
              <w:top w:w="100" w:type="dxa"/>
              <w:left w:w="100" w:type="dxa"/>
              <w:bottom w:w="100" w:type="dxa"/>
              <w:right w:w="100" w:type="dxa"/>
            </w:tcMar>
          </w:tcPr>
          <w:p w14:paraId="332EC24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People</w:t>
            </w:r>
          </w:p>
        </w:tc>
        <w:tc>
          <w:tcPr>
            <w:tcW w:w="0" w:type="auto"/>
            <w:shd w:val="clear" w:color="auto" w:fill="auto"/>
            <w:tcMar>
              <w:top w:w="100" w:type="dxa"/>
              <w:left w:w="100" w:type="dxa"/>
              <w:bottom w:w="100" w:type="dxa"/>
              <w:right w:w="100" w:type="dxa"/>
            </w:tcMar>
          </w:tcPr>
          <w:p w14:paraId="23DFC642"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PEP</w:t>
            </w:r>
          </w:p>
        </w:tc>
        <w:tc>
          <w:tcPr>
            <w:tcW w:w="0" w:type="auto"/>
            <w:shd w:val="clear" w:color="auto" w:fill="auto"/>
            <w:tcMar>
              <w:top w:w="100" w:type="dxa"/>
              <w:left w:w="100" w:type="dxa"/>
              <w:bottom w:w="100" w:type="dxa"/>
              <w:right w:w="100" w:type="dxa"/>
            </w:tcMar>
          </w:tcPr>
          <w:p w14:paraId="5AC588BF" w14:textId="3904ACB5" w:rsidR="00902209" w:rsidRPr="00B20B70" w:rsidRDefault="00172A50"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w:t>
            </w:r>
            <w:r w:rsidR="00902209" w:rsidRPr="00B20B70">
              <w:rPr>
                <w:color w:val="000000" w:themeColor="text1"/>
                <w:sz w:val="24"/>
                <w:szCs w:val="24"/>
              </w:rPr>
              <w:t xml:space="preserve"> subject is a person.</w:t>
            </w:r>
          </w:p>
        </w:tc>
      </w:tr>
      <w:tr w:rsidR="00902209" w:rsidRPr="00B20B70" w14:paraId="634B0E6D" w14:textId="77777777" w:rsidTr="004226CF">
        <w:trPr>
          <w:trHeight w:val="410"/>
        </w:trPr>
        <w:tc>
          <w:tcPr>
            <w:tcW w:w="0" w:type="auto"/>
            <w:vMerge/>
            <w:shd w:val="clear" w:color="auto" w:fill="auto"/>
            <w:tcMar>
              <w:top w:w="100" w:type="dxa"/>
              <w:left w:w="100" w:type="dxa"/>
              <w:bottom w:w="100" w:type="dxa"/>
              <w:right w:w="100" w:type="dxa"/>
            </w:tcMar>
          </w:tcPr>
          <w:p w14:paraId="38172C24"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6C053FC9"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206CF2A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Action</w:t>
            </w:r>
          </w:p>
        </w:tc>
        <w:tc>
          <w:tcPr>
            <w:tcW w:w="0" w:type="auto"/>
            <w:shd w:val="clear" w:color="auto" w:fill="auto"/>
            <w:tcMar>
              <w:top w:w="100" w:type="dxa"/>
              <w:left w:w="100" w:type="dxa"/>
              <w:bottom w:w="100" w:type="dxa"/>
              <w:right w:w="100" w:type="dxa"/>
            </w:tcMar>
          </w:tcPr>
          <w:p w14:paraId="0EA5315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ACT</w:t>
            </w:r>
          </w:p>
        </w:tc>
        <w:tc>
          <w:tcPr>
            <w:tcW w:w="0" w:type="auto"/>
            <w:shd w:val="clear" w:color="auto" w:fill="auto"/>
            <w:tcMar>
              <w:top w:w="100" w:type="dxa"/>
              <w:left w:w="100" w:type="dxa"/>
              <w:bottom w:w="100" w:type="dxa"/>
              <w:right w:w="100" w:type="dxa"/>
            </w:tcMar>
          </w:tcPr>
          <w:p w14:paraId="7263373D"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subject is an activity or action.</w:t>
            </w:r>
          </w:p>
        </w:tc>
      </w:tr>
      <w:tr w:rsidR="00902209" w:rsidRPr="00B20B70" w14:paraId="6F0A4853" w14:textId="77777777" w:rsidTr="004226CF">
        <w:trPr>
          <w:trHeight w:val="410"/>
        </w:trPr>
        <w:tc>
          <w:tcPr>
            <w:tcW w:w="0" w:type="auto"/>
            <w:vMerge/>
            <w:shd w:val="clear" w:color="auto" w:fill="auto"/>
            <w:tcMar>
              <w:top w:w="100" w:type="dxa"/>
              <w:left w:w="100" w:type="dxa"/>
              <w:bottom w:w="100" w:type="dxa"/>
              <w:right w:w="100" w:type="dxa"/>
            </w:tcMar>
          </w:tcPr>
          <w:p w14:paraId="517561C2"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1F343A7A"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1B41C7C"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Phenomenon</w:t>
            </w:r>
          </w:p>
        </w:tc>
        <w:tc>
          <w:tcPr>
            <w:tcW w:w="0" w:type="auto"/>
            <w:shd w:val="clear" w:color="auto" w:fill="auto"/>
            <w:tcMar>
              <w:top w:w="100" w:type="dxa"/>
              <w:left w:w="100" w:type="dxa"/>
              <w:bottom w:w="100" w:type="dxa"/>
              <w:right w:w="100" w:type="dxa"/>
            </w:tcMar>
          </w:tcPr>
          <w:p w14:paraId="65B5836E"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PHE</w:t>
            </w:r>
          </w:p>
        </w:tc>
        <w:tc>
          <w:tcPr>
            <w:tcW w:w="0" w:type="auto"/>
            <w:shd w:val="clear" w:color="auto" w:fill="auto"/>
            <w:tcMar>
              <w:top w:w="100" w:type="dxa"/>
              <w:left w:w="100" w:type="dxa"/>
              <w:bottom w:w="100" w:type="dxa"/>
              <w:right w:w="100" w:type="dxa"/>
            </w:tcMar>
          </w:tcPr>
          <w:p w14:paraId="7F80109D" w14:textId="73295B2E" w:rsidR="00902209" w:rsidRPr="00B20B70" w:rsidRDefault="00172A50"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w:t>
            </w:r>
            <w:r w:rsidR="00902209" w:rsidRPr="00B20B70">
              <w:rPr>
                <w:color w:val="000000" w:themeColor="text1"/>
                <w:sz w:val="24"/>
                <w:szCs w:val="24"/>
              </w:rPr>
              <w:t xml:space="preserve"> subject is an event.</w:t>
            </w:r>
          </w:p>
        </w:tc>
      </w:tr>
      <w:tr w:rsidR="00902209" w:rsidRPr="00B20B70" w14:paraId="3633E61D" w14:textId="77777777" w:rsidTr="004226CF">
        <w:trPr>
          <w:trHeight w:val="410"/>
        </w:trPr>
        <w:tc>
          <w:tcPr>
            <w:tcW w:w="0" w:type="auto"/>
            <w:vMerge/>
            <w:shd w:val="clear" w:color="auto" w:fill="auto"/>
            <w:tcMar>
              <w:top w:w="100" w:type="dxa"/>
              <w:left w:w="100" w:type="dxa"/>
              <w:bottom w:w="100" w:type="dxa"/>
              <w:right w:w="100" w:type="dxa"/>
            </w:tcMar>
          </w:tcPr>
          <w:p w14:paraId="78858A91"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3621C49A"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48801F63"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Place</w:t>
            </w:r>
          </w:p>
        </w:tc>
        <w:tc>
          <w:tcPr>
            <w:tcW w:w="0" w:type="auto"/>
            <w:shd w:val="clear" w:color="auto" w:fill="auto"/>
            <w:tcMar>
              <w:top w:w="100" w:type="dxa"/>
              <w:left w:w="100" w:type="dxa"/>
              <w:bottom w:w="100" w:type="dxa"/>
              <w:right w:w="100" w:type="dxa"/>
            </w:tcMar>
          </w:tcPr>
          <w:p w14:paraId="7640F1D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PLA</w:t>
            </w:r>
          </w:p>
        </w:tc>
        <w:tc>
          <w:tcPr>
            <w:tcW w:w="0" w:type="auto"/>
            <w:shd w:val="clear" w:color="auto" w:fill="auto"/>
            <w:tcMar>
              <w:top w:w="100" w:type="dxa"/>
              <w:left w:w="100" w:type="dxa"/>
              <w:bottom w:w="100" w:type="dxa"/>
              <w:right w:w="100" w:type="dxa"/>
            </w:tcMar>
          </w:tcPr>
          <w:p w14:paraId="348A3C31"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subject is a location or venue.</w:t>
            </w:r>
          </w:p>
        </w:tc>
      </w:tr>
      <w:tr w:rsidR="00902209" w:rsidRPr="00B20B70" w14:paraId="765878A4" w14:textId="77777777" w:rsidTr="004226CF">
        <w:trPr>
          <w:trHeight w:val="410"/>
        </w:trPr>
        <w:tc>
          <w:tcPr>
            <w:tcW w:w="0" w:type="auto"/>
            <w:vMerge/>
            <w:shd w:val="clear" w:color="auto" w:fill="auto"/>
            <w:tcMar>
              <w:top w:w="100" w:type="dxa"/>
              <w:left w:w="100" w:type="dxa"/>
              <w:bottom w:w="100" w:type="dxa"/>
              <w:right w:w="100" w:type="dxa"/>
            </w:tcMar>
          </w:tcPr>
          <w:p w14:paraId="000FB6DD"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75E6E4F8"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5EAF023"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Medicine</w:t>
            </w:r>
          </w:p>
        </w:tc>
        <w:tc>
          <w:tcPr>
            <w:tcW w:w="0" w:type="auto"/>
            <w:shd w:val="clear" w:color="auto" w:fill="auto"/>
            <w:tcMar>
              <w:top w:w="100" w:type="dxa"/>
              <w:left w:w="100" w:type="dxa"/>
              <w:bottom w:w="100" w:type="dxa"/>
              <w:right w:w="100" w:type="dxa"/>
            </w:tcMar>
          </w:tcPr>
          <w:p w14:paraId="110B418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MED</w:t>
            </w:r>
          </w:p>
        </w:tc>
        <w:tc>
          <w:tcPr>
            <w:tcW w:w="0" w:type="auto"/>
            <w:shd w:val="clear" w:color="auto" w:fill="auto"/>
            <w:tcMar>
              <w:top w:w="100" w:type="dxa"/>
              <w:left w:w="100" w:type="dxa"/>
              <w:bottom w:w="100" w:type="dxa"/>
              <w:right w:w="100" w:type="dxa"/>
            </w:tcMar>
          </w:tcPr>
          <w:p w14:paraId="77DD0D69"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subject is drugs or medical entities.</w:t>
            </w:r>
          </w:p>
        </w:tc>
      </w:tr>
      <w:tr w:rsidR="00902209" w:rsidRPr="00B20B70" w14:paraId="73A3EF01" w14:textId="77777777" w:rsidTr="004226CF">
        <w:trPr>
          <w:trHeight w:val="410"/>
        </w:trPr>
        <w:tc>
          <w:tcPr>
            <w:tcW w:w="0" w:type="auto"/>
            <w:vMerge w:val="restart"/>
            <w:shd w:val="clear" w:color="auto" w:fill="auto"/>
            <w:tcMar>
              <w:top w:w="100" w:type="dxa"/>
              <w:left w:w="100" w:type="dxa"/>
              <w:bottom w:w="100" w:type="dxa"/>
              <w:right w:w="100" w:type="dxa"/>
            </w:tcMar>
          </w:tcPr>
          <w:p w14:paraId="3B192364" w14:textId="77777777" w:rsidR="00902209" w:rsidRPr="00B20B70" w:rsidRDefault="00902209" w:rsidP="00D12638">
            <w:pPr>
              <w:pBdr>
                <w:top w:val="nil"/>
                <w:left w:val="nil"/>
                <w:bottom w:val="nil"/>
                <w:right w:val="nil"/>
                <w:between w:val="nil"/>
              </w:pBdr>
              <w:ind w:right="-15"/>
              <w:contextualSpacing/>
              <w:jc w:val="center"/>
              <w:rPr>
                <w:color w:val="000000" w:themeColor="text1"/>
                <w:sz w:val="24"/>
                <w:szCs w:val="24"/>
                <w:lang w:val="id-ID"/>
              </w:rPr>
            </w:pPr>
            <w:r w:rsidRPr="00B20B70">
              <w:rPr>
                <w:color w:val="000000" w:themeColor="text1"/>
                <w:sz w:val="24"/>
                <w:szCs w:val="24"/>
                <w:lang w:val="id-ID"/>
              </w:rPr>
              <w:t>2.</w:t>
            </w:r>
          </w:p>
        </w:tc>
        <w:tc>
          <w:tcPr>
            <w:tcW w:w="0" w:type="auto"/>
            <w:vMerge w:val="restart"/>
            <w:shd w:val="clear" w:color="auto" w:fill="auto"/>
            <w:tcMar>
              <w:top w:w="100" w:type="dxa"/>
              <w:left w:w="100" w:type="dxa"/>
              <w:bottom w:w="100" w:type="dxa"/>
              <w:right w:w="100" w:type="dxa"/>
            </w:tcMar>
          </w:tcPr>
          <w:p w14:paraId="4E6F77E3" w14:textId="1906F99C"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Who: The object or the things discussed in the hoax</w:t>
            </w:r>
            <w:r w:rsidR="00031383">
              <w:rPr>
                <w:color w:val="000000" w:themeColor="text1"/>
                <w:sz w:val="24"/>
                <w:szCs w:val="24"/>
              </w:rPr>
              <w:t>'</w:t>
            </w:r>
            <w:r w:rsidRPr="00B20B70">
              <w:rPr>
                <w:color w:val="000000" w:themeColor="text1"/>
                <w:sz w:val="24"/>
                <w:szCs w:val="24"/>
              </w:rPr>
              <w:t>s utterances or sentences.</w:t>
            </w:r>
          </w:p>
        </w:tc>
        <w:tc>
          <w:tcPr>
            <w:tcW w:w="0" w:type="auto"/>
            <w:shd w:val="clear" w:color="auto" w:fill="auto"/>
            <w:tcMar>
              <w:top w:w="100" w:type="dxa"/>
              <w:left w:w="100" w:type="dxa"/>
              <w:bottom w:w="100" w:type="dxa"/>
              <w:right w:w="100" w:type="dxa"/>
            </w:tcMar>
          </w:tcPr>
          <w:p w14:paraId="2557210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Figure</w:t>
            </w:r>
          </w:p>
        </w:tc>
        <w:tc>
          <w:tcPr>
            <w:tcW w:w="0" w:type="auto"/>
            <w:shd w:val="clear" w:color="auto" w:fill="auto"/>
            <w:tcMar>
              <w:top w:w="100" w:type="dxa"/>
              <w:left w:w="100" w:type="dxa"/>
              <w:bottom w:w="100" w:type="dxa"/>
              <w:right w:w="100" w:type="dxa"/>
            </w:tcMar>
          </w:tcPr>
          <w:p w14:paraId="1A9AA9B1"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FIG</w:t>
            </w:r>
          </w:p>
        </w:tc>
        <w:tc>
          <w:tcPr>
            <w:tcW w:w="0" w:type="auto"/>
            <w:shd w:val="clear" w:color="auto" w:fill="auto"/>
            <w:tcMar>
              <w:top w:w="100" w:type="dxa"/>
              <w:left w:w="100" w:type="dxa"/>
              <w:bottom w:w="100" w:type="dxa"/>
              <w:right w:w="100" w:type="dxa"/>
            </w:tcMar>
          </w:tcPr>
          <w:p w14:paraId="3A6C9BD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object is common people or laymen.</w:t>
            </w:r>
          </w:p>
        </w:tc>
      </w:tr>
      <w:tr w:rsidR="00902209" w:rsidRPr="00B20B70" w14:paraId="0D8343C0" w14:textId="77777777" w:rsidTr="004226CF">
        <w:trPr>
          <w:trHeight w:val="410"/>
        </w:trPr>
        <w:tc>
          <w:tcPr>
            <w:tcW w:w="0" w:type="auto"/>
            <w:vMerge/>
            <w:shd w:val="clear" w:color="auto" w:fill="auto"/>
            <w:tcMar>
              <w:top w:w="100" w:type="dxa"/>
              <w:left w:w="100" w:type="dxa"/>
              <w:bottom w:w="100" w:type="dxa"/>
              <w:right w:w="100" w:type="dxa"/>
            </w:tcMar>
          </w:tcPr>
          <w:p w14:paraId="73150062"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07BC95BC"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68C8F09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Very Important Person</w:t>
            </w:r>
          </w:p>
        </w:tc>
        <w:tc>
          <w:tcPr>
            <w:tcW w:w="0" w:type="auto"/>
            <w:shd w:val="clear" w:color="auto" w:fill="auto"/>
            <w:tcMar>
              <w:top w:w="100" w:type="dxa"/>
              <w:left w:w="100" w:type="dxa"/>
              <w:bottom w:w="100" w:type="dxa"/>
              <w:right w:w="100" w:type="dxa"/>
            </w:tcMar>
          </w:tcPr>
          <w:p w14:paraId="7FC29988"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VIP</w:t>
            </w:r>
          </w:p>
        </w:tc>
        <w:tc>
          <w:tcPr>
            <w:tcW w:w="0" w:type="auto"/>
            <w:shd w:val="clear" w:color="auto" w:fill="auto"/>
            <w:tcMar>
              <w:top w:w="100" w:type="dxa"/>
              <w:left w:w="100" w:type="dxa"/>
              <w:bottom w:w="100" w:type="dxa"/>
              <w:right w:w="100" w:type="dxa"/>
            </w:tcMar>
          </w:tcPr>
          <w:p w14:paraId="6788FDF3" w14:textId="33FCB73B"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object is </w:t>
            </w:r>
            <w:r w:rsidR="00172A50" w:rsidRPr="00B20B70">
              <w:rPr>
                <w:color w:val="000000" w:themeColor="text1"/>
                <w:sz w:val="24"/>
                <w:szCs w:val="24"/>
              </w:rPr>
              <w:t xml:space="preserve">a </w:t>
            </w:r>
            <w:r w:rsidRPr="00B20B70">
              <w:rPr>
                <w:color w:val="000000" w:themeColor="text1"/>
                <w:sz w:val="24"/>
                <w:szCs w:val="24"/>
              </w:rPr>
              <w:t>well-known figure.</w:t>
            </w:r>
          </w:p>
        </w:tc>
      </w:tr>
      <w:tr w:rsidR="00902209" w:rsidRPr="00B20B70" w14:paraId="20A7CF07" w14:textId="77777777" w:rsidTr="004226CF">
        <w:trPr>
          <w:trHeight w:val="410"/>
        </w:trPr>
        <w:tc>
          <w:tcPr>
            <w:tcW w:w="0" w:type="auto"/>
            <w:vMerge/>
            <w:shd w:val="clear" w:color="auto" w:fill="auto"/>
            <w:tcMar>
              <w:top w:w="100" w:type="dxa"/>
              <w:left w:w="100" w:type="dxa"/>
              <w:bottom w:w="100" w:type="dxa"/>
              <w:right w:w="100" w:type="dxa"/>
            </w:tcMar>
          </w:tcPr>
          <w:p w14:paraId="7FCAC283"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20950A69"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10BD2A80"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Others</w:t>
            </w:r>
          </w:p>
        </w:tc>
        <w:tc>
          <w:tcPr>
            <w:tcW w:w="0" w:type="auto"/>
            <w:shd w:val="clear" w:color="auto" w:fill="auto"/>
            <w:tcMar>
              <w:top w:w="100" w:type="dxa"/>
              <w:left w:w="100" w:type="dxa"/>
              <w:bottom w:w="100" w:type="dxa"/>
              <w:right w:w="100" w:type="dxa"/>
            </w:tcMar>
          </w:tcPr>
          <w:p w14:paraId="4414277F"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OTH</w:t>
            </w:r>
          </w:p>
        </w:tc>
        <w:tc>
          <w:tcPr>
            <w:tcW w:w="0" w:type="auto"/>
            <w:shd w:val="clear" w:color="auto" w:fill="auto"/>
            <w:tcMar>
              <w:top w:w="100" w:type="dxa"/>
              <w:left w:w="100" w:type="dxa"/>
              <w:bottom w:w="100" w:type="dxa"/>
              <w:right w:w="100" w:type="dxa"/>
            </w:tcMar>
          </w:tcPr>
          <w:p w14:paraId="543C196A" w14:textId="214F5BC0"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object </w:t>
            </w:r>
            <w:r w:rsidR="00172A50" w:rsidRPr="00B20B70">
              <w:rPr>
                <w:color w:val="000000" w:themeColor="text1"/>
                <w:sz w:val="24"/>
                <w:szCs w:val="24"/>
              </w:rPr>
              <w:t xml:space="preserve">is </w:t>
            </w:r>
            <w:r w:rsidRPr="00B20B70">
              <w:rPr>
                <w:color w:val="000000" w:themeColor="text1"/>
                <w:sz w:val="24"/>
                <w:szCs w:val="24"/>
              </w:rPr>
              <w:t>discussed other than the things in the sub</w:t>
            </w:r>
            <w:r w:rsidR="005D00CC">
              <w:rPr>
                <w:color w:val="000000" w:themeColor="text1"/>
                <w:sz w:val="24"/>
                <w:szCs w:val="24"/>
              </w:rPr>
              <w:t>-</w:t>
            </w:r>
            <w:r w:rsidRPr="00B20B70">
              <w:rPr>
                <w:color w:val="000000" w:themeColor="text1"/>
                <w:sz w:val="24"/>
                <w:szCs w:val="24"/>
              </w:rPr>
              <w:t>categories.</w:t>
            </w:r>
          </w:p>
        </w:tc>
      </w:tr>
      <w:tr w:rsidR="00902209" w:rsidRPr="00B20B70" w14:paraId="6C4EEF09" w14:textId="77777777" w:rsidTr="004226CF">
        <w:trPr>
          <w:trHeight w:val="410"/>
        </w:trPr>
        <w:tc>
          <w:tcPr>
            <w:tcW w:w="0" w:type="auto"/>
            <w:vMerge/>
            <w:shd w:val="clear" w:color="auto" w:fill="auto"/>
            <w:tcMar>
              <w:top w:w="100" w:type="dxa"/>
              <w:left w:w="100" w:type="dxa"/>
              <w:bottom w:w="100" w:type="dxa"/>
              <w:right w:w="100" w:type="dxa"/>
            </w:tcMar>
          </w:tcPr>
          <w:p w14:paraId="60BDF903"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7306CE24"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671F240D"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Alternative Medicine</w:t>
            </w:r>
          </w:p>
        </w:tc>
        <w:tc>
          <w:tcPr>
            <w:tcW w:w="0" w:type="auto"/>
            <w:shd w:val="clear" w:color="auto" w:fill="auto"/>
            <w:tcMar>
              <w:top w:w="100" w:type="dxa"/>
              <w:left w:w="100" w:type="dxa"/>
              <w:bottom w:w="100" w:type="dxa"/>
              <w:right w:w="100" w:type="dxa"/>
            </w:tcMar>
          </w:tcPr>
          <w:p w14:paraId="30B6F2FF"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ALT</w:t>
            </w:r>
          </w:p>
        </w:tc>
        <w:tc>
          <w:tcPr>
            <w:tcW w:w="0" w:type="auto"/>
            <w:shd w:val="clear" w:color="auto" w:fill="auto"/>
            <w:tcMar>
              <w:top w:w="100" w:type="dxa"/>
              <w:left w:w="100" w:type="dxa"/>
              <w:bottom w:w="100" w:type="dxa"/>
              <w:right w:w="100" w:type="dxa"/>
            </w:tcMar>
          </w:tcPr>
          <w:p w14:paraId="7594E62B" w14:textId="010E2888"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object is </w:t>
            </w:r>
            <w:r w:rsidR="00172A50" w:rsidRPr="00B20B70">
              <w:rPr>
                <w:color w:val="000000" w:themeColor="text1"/>
                <w:sz w:val="24"/>
                <w:szCs w:val="24"/>
              </w:rPr>
              <w:t xml:space="preserve">an </w:t>
            </w:r>
            <w:r w:rsidRPr="00B20B70">
              <w:rPr>
                <w:color w:val="000000" w:themeColor="text1"/>
                <w:sz w:val="24"/>
                <w:szCs w:val="24"/>
              </w:rPr>
              <w:t>alternative cure or practice.</w:t>
            </w:r>
          </w:p>
        </w:tc>
      </w:tr>
      <w:tr w:rsidR="00902209" w:rsidRPr="00B20B70" w14:paraId="18E64B67" w14:textId="77777777" w:rsidTr="004226CF">
        <w:trPr>
          <w:trHeight w:val="410"/>
        </w:trPr>
        <w:tc>
          <w:tcPr>
            <w:tcW w:w="0" w:type="auto"/>
            <w:vMerge/>
            <w:shd w:val="clear" w:color="auto" w:fill="auto"/>
            <w:tcMar>
              <w:top w:w="100" w:type="dxa"/>
              <w:left w:w="100" w:type="dxa"/>
              <w:bottom w:w="100" w:type="dxa"/>
              <w:right w:w="100" w:type="dxa"/>
            </w:tcMar>
          </w:tcPr>
          <w:p w14:paraId="2B35305F"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328D68FB"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76012F0F"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Public Places</w:t>
            </w:r>
          </w:p>
        </w:tc>
        <w:tc>
          <w:tcPr>
            <w:tcW w:w="0" w:type="auto"/>
            <w:shd w:val="clear" w:color="auto" w:fill="auto"/>
            <w:tcMar>
              <w:top w:w="100" w:type="dxa"/>
              <w:left w:w="100" w:type="dxa"/>
              <w:bottom w:w="100" w:type="dxa"/>
              <w:right w:w="100" w:type="dxa"/>
            </w:tcMar>
          </w:tcPr>
          <w:p w14:paraId="2677566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PUB</w:t>
            </w:r>
          </w:p>
        </w:tc>
        <w:tc>
          <w:tcPr>
            <w:tcW w:w="0" w:type="auto"/>
            <w:shd w:val="clear" w:color="auto" w:fill="auto"/>
            <w:tcMar>
              <w:top w:w="100" w:type="dxa"/>
              <w:left w:w="100" w:type="dxa"/>
              <w:bottom w:w="100" w:type="dxa"/>
              <w:right w:w="100" w:type="dxa"/>
            </w:tcMar>
          </w:tcPr>
          <w:p w14:paraId="4B3A5BF3"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object is/are public places.</w:t>
            </w:r>
          </w:p>
        </w:tc>
      </w:tr>
      <w:tr w:rsidR="00902209" w:rsidRPr="00B20B70" w14:paraId="4F163644" w14:textId="77777777" w:rsidTr="004226CF">
        <w:trPr>
          <w:trHeight w:val="410"/>
        </w:trPr>
        <w:tc>
          <w:tcPr>
            <w:tcW w:w="0" w:type="auto"/>
            <w:vMerge/>
            <w:shd w:val="clear" w:color="auto" w:fill="auto"/>
            <w:tcMar>
              <w:top w:w="100" w:type="dxa"/>
              <w:left w:w="100" w:type="dxa"/>
              <w:bottom w:w="100" w:type="dxa"/>
              <w:right w:w="100" w:type="dxa"/>
            </w:tcMar>
          </w:tcPr>
          <w:p w14:paraId="55E764E4"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29165AB1"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59A2064D"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Commercial Places</w:t>
            </w:r>
          </w:p>
        </w:tc>
        <w:tc>
          <w:tcPr>
            <w:tcW w:w="0" w:type="auto"/>
            <w:shd w:val="clear" w:color="auto" w:fill="auto"/>
            <w:tcMar>
              <w:top w:w="100" w:type="dxa"/>
              <w:left w:w="100" w:type="dxa"/>
              <w:bottom w:w="100" w:type="dxa"/>
              <w:right w:w="100" w:type="dxa"/>
            </w:tcMar>
          </w:tcPr>
          <w:p w14:paraId="37D8952F"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COM</w:t>
            </w:r>
          </w:p>
        </w:tc>
        <w:tc>
          <w:tcPr>
            <w:tcW w:w="0" w:type="auto"/>
            <w:shd w:val="clear" w:color="auto" w:fill="auto"/>
            <w:tcMar>
              <w:top w:w="100" w:type="dxa"/>
              <w:left w:w="100" w:type="dxa"/>
              <w:bottom w:w="100" w:type="dxa"/>
              <w:right w:w="100" w:type="dxa"/>
            </w:tcMar>
          </w:tcPr>
          <w:p w14:paraId="0AE0046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object discussed is/are commercial venues.</w:t>
            </w:r>
          </w:p>
        </w:tc>
      </w:tr>
      <w:tr w:rsidR="00902209" w:rsidRPr="00B20B70" w14:paraId="71EA5D23" w14:textId="77777777" w:rsidTr="004226CF">
        <w:trPr>
          <w:trHeight w:val="410"/>
        </w:trPr>
        <w:tc>
          <w:tcPr>
            <w:tcW w:w="0" w:type="auto"/>
            <w:vMerge/>
            <w:shd w:val="clear" w:color="auto" w:fill="auto"/>
            <w:tcMar>
              <w:top w:w="100" w:type="dxa"/>
              <w:left w:w="100" w:type="dxa"/>
              <w:bottom w:w="100" w:type="dxa"/>
              <w:right w:w="100" w:type="dxa"/>
            </w:tcMar>
          </w:tcPr>
          <w:p w14:paraId="222CADCA"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2713E51E"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4149755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Health Facilities</w:t>
            </w:r>
          </w:p>
        </w:tc>
        <w:tc>
          <w:tcPr>
            <w:tcW w:w="0" w:type="auto"/>
            <w:shd w:val="clear" w:color="auto" w:fill="auto"/>
            <w:tcMar>
              <w:top w:w="100" w:type="dxa"/>
              <w:left w:w="100" w:type="dxa"/>
              <w:bottom w:w="100" w:type="dxa"/>
              <w:right w:w="100" w:type="dxa"/>
            </w:tcMar>
          </w:tcPr>
          <w:p w14:paraId="3A280C82"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HFA</w:t>
            </w:r>
          </w:p>
        </w:tc>
        <w:tc>
          <w:tcPr>
            <w:tcW w:w="0" w:type="auto"/>
            <w:shd w:val="clear" w:color="auto" w:fill="auto"/>
            <w:tcMar>
              <w:top w:w="100" w:type="dxa"/>
              <w:left w:w="100" w:type="dxa"/>
              <w:bottom w:w="100" w:type="dxa"/>
              <w:right w:w="100" w:type="dxa"/>
            </w:tcMar>
          </w:tcPr>
          <w:p w14:paraId="2D74B902"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objects discussed is/are health facilities.</w:t>
            </w:r>
          </w:p>
        </w:tc>
      </w:tr>
      <w:tr w:rsidR="00902209" w:rsidRPr="00B20B70" w14:paraId="505237CD" w14:textId="77777777" w:rsidTr="004226CF">
        <w:trPr>
          <w:trHeight w:val="410"/>
        </w:trPr>
        <w:tc>
          <w:tcPr>
            <w:tcW w:w="0" w:type="auto"/>
            <w:vMerge/>
            <w:shd w:val="clear" w:color="auto" w:fill="auto"/>
            <w:tcMar>
              <w:top w:w="100" w:type="dxa"/>
              <w:left w:w="100" w:type="dxa"/>
              <w:bottom w:w="100" w:type="dxa"/>
              <w:right w:w="100" w:type="dxa"/>
            </w:tcMar>
          </w:tcPr>
          <w:p w14:paraId="4703F8A2"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7E662E7F"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112C190"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Technology</w:t>
            </w:r>
          </w:p>
        </w:tc>
        <w:tc>
          <w:tcPr>
            <w:tcW w:w="0" w:type="auto"/>
            <w:shd w:val="clear" w:color="auto" w:fill="auto"/>
            <w:tcMar>
              <w:top w:w="100" w:type="dxa"/>
              <w:left w:w="100" w:type="dxa"/>
              <w:bottom w:w="100" w:type="dxa"/>
              <w:right w:w="100" w:type="dxa"/>
            </w:tcMar>
          </w:tcPr>
          <w:p w14:paraId="37987BDE"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TEC</w:t>
            </w:r>
          </w:p>
        </w:tc>
        <w:tc>
          <w:tcPr>
            <w:tcW w:w="0" w:type="auto"/>
            <w:shd w:val="clear" w:color="auto" w:fill="auto"/>
            <w:tcMar>
              <w:top w:w="100" w:type="dxa"/>
              <w:left w:w="100" w:type="dxa"/>
              <w:bottom w:w="100" w:type="dxa"/>
              <w:right w:w="100" w:type="dxa"/>
            </w:tcMar>
          </w:tcPr>
          <w:p w14:paraId="6FD4C338" w14:textId="5E1C87A5"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objects are technological tools, devices, and systems.</w:t>
            </w:r>
          </w:p>
        </w:tc>
      </w:tr>
      <w:tr w:rsidR="00902209" w:rsidRPr="00B20B70" w14:paraId="1251541B" w14:textId="77777777" w:rsidTr="004226CF">
        <w:trPr>
          <w:trHeight w:val="410"/>
        </w:trPr>
        <w:tc>
          <w:tcPr>
            <w:tcW w:w="0" w:type="auto"/>
            <w:vMerge w:val="restart"/>
            <w:shd w:val="clear" w:color="auto" w:fill="auto"/>
            <w:tcMar>
              <w:top w:w="100" w:type="dxa"/>
              <w:left w:w="100" w:type="dxa"/>
              <w:bottom w:w="100" w:type="dxa"/>
              <w:right w:w="100" w:type="dxa"/>
            </w:tcMar>
          </w:tcPr>
          <w:p w14:paraId="7D338212" w14:textId="77777777" w:rsidR="00902209" w:rsidRPr="00B20B70" w:rsidRDefault="00902209" w:rsidP="00D12638">
            <w:pPr>
              <w:pBdr>
                <w:top w:val="nil"/>
                <w:left w:val="nil"/>
                <w:bottom w:val="nil"/>
                <w:right w:val="nil"/>
                <w:between w:val="nil"/>
              </w:pBdr>
              <w:ind w:right="-15"/>
              <w:contextualSpacing/>
              <w:jc w:val="center"/>
              <w:rPr>
                <w:color w:val="000000" w:themeColor="text1"/>
                <w:sz w:val="24"/>
                <w:szCs w:val="24"/>
                <w:lang w:val="id-ID"/>
              </w:rPr>
            </w:pPr>
            <w:r w:rsidRPr="00B20B70">
              <w:rPr>
                <w:color w:val="000000" w:themeColor="text1"/>
                <w:sz w:val="24"/>
                <w:szCs w:val="24"/>
                <w:lang w:val="id-ID"/>
              </w:rPr>
              <w:t>3.</w:t>
            </w:r>
          </w:p>
        </w:tc>
        <w:tc>
          <w:tcPr>
            <w:tcW w:w="0" w:type="auto"/>
            <w:vMerge w:val="restart"/>
            <w:shd w:val="clear" w:color="auto" w:fill="auto"/>
            <w:tcMar>
              <w:top w:w="100" w:type="dxa"/>
              <w:left w:w="100" w:type="dxa"/>
              <w:bottom w:w="100" w:type="dxa"/>
              <w:right w:w="100" w:type="dxa"/>
            </w:tcMar>
          </w:tcPr>
          <w:p w14:paraId="3C11DB22" w14:textId="7D1E4F4D"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Context: The setting, meaning, and message of the hoax</w:t>
            </w:r>
            <w:r w:rsidR="00172A50" w:rsidRPr="00B20B70">
              <w:rPr>
                <w:color w:val="000000" w:themeColor="text1"/>
                <w:sz w:val="24"/>
                <w:szCs w:val="24"/>
              </w:rPr>
              <w:t>'</w:t>
            </w:r>
            <w:r w:rsidRPr="00B20B70">
              <w:rPr>
                <w:color w:val="000000" w:themeColor="text1"/>
                <w:sz w:val="24"/>
                <w:szCs w:val="24"/>
              </w:rPr>
              <w:t>s utterances or sentences.</w:t>
            </w:r>
          </w:p>
        </w:tc>
        <w:tc>
          <w:tcPr>
            <w:tcW w:w="0" w:type="auto"/>
            <w:shd w:val="clear" w:color="auto" w:fill="auto"/>
            <w:tcMar>
              <w:top w:w="100" w:type="dxa"/>
              <w:left w:w="100" w:type="dxa"/>
              <w:bottom w:w="100" w:type="dxa"/>
              <w:right w:w="100" w:type="dxa"/>
            </w:tcMar>
          </w:tcPr>
          <w:p w14:paraId="14108517"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Health </w:t>
            </w:r>
          </w:p>
        </w:tc>
        <w:tc>
          <w:tcPr>
            <w:tcW w:w="0" w:type="auto"/>
            <w:shd w:val="clear" w:color="auto" w:fill="auto"/>
            <w:tcMar>
              <w:top w:w="100" w:type="dxa"/>
              <w:left w:w="100" w:type="dxa"/>
              <w:bottom w:w="100" w:type="dxa"/>
              <w:right w:w="100" w:type="dxa"/>
            </w:tcMar>
          </w:tcPr>
          <w:p w14:paraId="58CE7FBF"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HEA</w:t>
            </w:r>
          </w:p>
        </w:tc>
        <w:tc>
          <w:tcPr>
            <w:tcW w:w="0" w:type="auto"/>
            <w:shd w:val="clear" w:color="auto" w:fill="auto"/>
            <w:tcMar>
              <w:top w:w="100" w:type="dxa"/>
              <w:left w:w="100" w:type="dxa"/>
              <w:bottom w:w="100" w:type="dxa"/>
              <w:right w:w="100" w:type="dxa"/>
            </w:tcMar>
          </w:tcPr>
          <w:p w14:paraId="0507ABAA" w14:textId="41E91AC0"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message of the hoax conveys health issues caused by </w:t>
            </w:r>
            <w:r w:rsidR="00172A50" w:rsidRPr="00B20B70">
              <w:rPr>
                <w:color w:val="000000" w:themeColor="text1"/>
                <w:sz w:val="24"/>
                <w:szCs w:val="24"/>
              </w:rPr>
              <w:t>Covid-19</w:t>
            </w:r>
          </w:p>
        </w:tc>
      </w:tr>
      <w:tr w:rsidR="00902209" w:rsidRPr="00B20B70" w14:paraId="6A630A52" w14:textId="77777777" w:rsidTr="004226CF">
        <w:trPr>
          <w:trHeight w:val="410"/>
        </w:trPr>
        <w:tc>
          <w:tcPr>
            <w:tcW w:w="0" w:type="auto"/>
            <w:vMerge/>
            <w:shd w:val="clear" w:color="auto" w:fill="auto"/>
            <w:tcMar>
              <w:top w:w="100" w:type="dxa"/>
              <w:left w:w="100" w:type="dxa"/>
              <w:bottom w:w="100" w:type="dxa"/>
              <w:right w:w="100" w:type="dxa"/>
            </w:tcMar>
          </w:tcPr>
          <w:p w14:paraId="55143DE3"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04972282"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5137E10" w14:textId="77777777" w:rsidR="00902209" w:rsidRPr="00B20B70" w:rsidRDefault="00902209" w:rsidP="00D12638">
            <w:pPr>
              <w:contextualSpacing/>
              <w:rPr>
                <w:color w:val="000000" w:themeColor="text1"/>
                <w:sz w:val="24"/>
                <w:szCs w:val="24"/>
              </w:rPr>
            </w:pPr>
            <w:r w:rsidRPr="00B20B70">
              <w:rPr>
                <w:color w:val="000000" w:themeColor="text1"/>
                <w:sz w:val="24"/>
                <w:szCs w:val="24"/>
              </w:rPr>
              <w:t>Security Measure</w:t>
            </w:r>
          </w:p>
        </w:tc>
        <w:tc>
          <w:tcPr>
            <w:tcW w:w="0" w:type="auto"/>
            <w:shd w:val="clear" w:color="auto" w:fill="auto"/>
            <w:tcMar>
              <w:top w:w="100" w:type="dxa"/>
              <w:left w:w="100" w:type="dxa"/>
              <w:bottom w:w="100" w:type="dxa"/>
              <w:right w:w="100" w:type="dxa"/>
            </w:tcMar>
          </w:tcPr>
          <w:p w14:paraId="47D8056D"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SEC</w:t>
            </w:r>
          </w:p>
        </w:tc>
        <w:tc>
          <w:tcPr>
            <w:tcW w:w="0" w:type="auto"/>
            <w:shd w:val="clear" w:color="auto" w:fill="auto"/>
            <w:tcMar>
              <w:top w:w="100" w:type="dxa"/>
              <w:left w:w="100" w:type="dxa"/>
              <w:bottom w:w="100" w:type="dxa"/>
              <w:right w:w="100" w:type="dxa"/>
            </w:tcMar>
          </w:tcPr>
          <w:p w14:paraId="455509BA" w14:textId="633674FE"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meaning of the hoax conveys </w:t>
            </w:r>
            <w:r w:rsidR="00172A50" w:rsidRPr="00B20B70">
              <w:rPr>
                <w:color w:val="000000" w:themeColor="text1"/>
                <w:sz w:val="24"/>
                <w:szCs w:val="24"/>
              </w:rPr>
              <w:t xml:space="preserve">the </w:t>
            </w:r>
            <w:r w:rsidRPr="00B20B70">
              <w:rPr>
                <w:color w:val="000000" w:themeColor="text1"/>
                <w:sz w:val="24"/>
                <w:szCs w:val="24"/>
              </w:rPr>
              <w:t xml:space="preserve">action of preventing and resolving </w:t>
            </w:r>
            <w:r w:rsidR="00172A50" w:rsidRPr="00B20B70">
              <w:rPr>
                <w:color w:val="000000" w:themeColor="text1"/>
                <w:sz w:val="24"/>
                <w:szCs w:val="24"/>
              </w:rPr>
              <w:t>the Covid-19</w:t>
            </w:r>
            <w:r w:rsidRPr="00B20B70">
              <w:rPr>
                <w:color w:val="000000" w:themeColor="text1"/>
                <w:sz w:val="24"/>
                <w:szCs w:val="24"/>
              </w:rPr>
              <w:t xml:space="preserve"> spread.</w:t>
            </w:r>
          </w:p>
        </w:tc>
      </w:tr>
      <w:tr w:rsidR="00902209" w:rsidRPr="00B20B70" w14:paraId="48A3890F" w14:textId="77777777" w:rsidTr="004226CF">
        <w:trPr>
          <w:trHeight w:val="410"/>
        </w:trPr>
        <w:tc>
          <w:tcPr>
            <w:tcW w:w="0" w:type="auto"/>
            <w:vMerge/>
            <w:shd w:val="clear" w:color="auto" w:fill="auto"/>
            <w:tcMar>
              <w:top w:w="100" w:type="dxa"/>
              <w:left w:w="100" w:type="dxa"/>
              <w:bottom w:w="100" w:type="dxa"/>
              <w:right w:w="100" w:type="dxa"/>
            </w:tcMar>
          </w:tcPr>
          <w:p w14:paraId="748FDF40"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4E7496EE"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69CF0BE3" w14:textId="77777777" w:rsidR="00902209" w:rsidRPr="00B20B70" w:rsidRDefault="00902209" w:rsidP="00D12638">
            <w:pPr>
              <w:contextualSpacing/>
              <w:rPr>
                <w:color w:val="000000" w:themeColor="text1"/>
                <w:sz w:val="24"/>
                <w:szCs w:val="24"/>
              </w:rPr>
            </w:pPr>
            <w:r w:rsidRPr="00B20B70">
              <w:rPr>
                <w:color w:val="000000" w:themeColor="text1"/>
                <w:sz w:val="24"/>
                <w:szCs w:val="24"/>
              </w:rPr>
              <w:t>Politics</w:t>
            </w:r>
          </w:p>
        </w:tc>
        <w:tc>
          <w:tcPr>
            <w:tcW w:w="0" w:type="auto"/>
            <w:shd w:val="clear" w:color="auto" w:fill="auto"/>
            <w:tcMar>
              <w:top w:w="100" w:type="dxa"/>
              <w:left w:w="100" w:type="dxa"/>
              <w:bottom w:w="100" w:type="dxa"/>
              <w:right w:w="100" w:type="dxa"/>
            </w:tcMar>
          </w:tcPr>
          <w:p w14:paraId="47080517"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POL</w:t>
            </w:r>
          </w:p>
        </w:tc>
        <w:tc>
          <w:tcPr>
            <w:tcW w:w="0" w:type="auto"/>
            <w:shd w:val="clear" w:color="auto" w:fill="auto"/>
            <w:tcMar>
              <w:top w:w="100" w:type="dxa"/>
              <w:left w:w="100" w:type="dxa"/>
              <w:bottom w:w="100" w:type="dxa"/>
              <w:right w:w="100" w:type="dxa"/>
            </w:tcMar>
          </w:tcPr>
          <w:p w14:paraId="19B82657" w14:textId="356889E4"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meaning refers to political and legal issues to </w:t>
            </w:r>
            <w:r w:rsidR="00172A50" w:rsidRPr="00B20B70">
              <w:rPr>
                <w:color w:val="000000" w:themeColor="text1"/>
                <w:sz w:val="24"/>
                <w:szCs w:val="24"/>
              </w:rPr>
              <w:t>Covid-19</w:t>
            </w:r>
            <w:r w:rsidRPr="00B20B70">
              <w:rPr>
                <w:color w:val="000000" w:themeColor="text1"/>
                <w:sz w:val="24"/>
                <w:szCs w:val="24"/>
              </w:rPr>
              <w:t xml:space="preserve"> prevention action. </w:t>
            </w:r>
          </w:p>
        </w:tc>
      </w:tr>
      <w:tr w:rsidR="00902209" w:rsidRPr="00B20B70" w14:paraId="27856934" w14:textId="77777777" w:rsidTr="004226CF">
        <w:trPr>
          <w:trHeight w:val="410"/>
        </w:trPr>
        <w:tc>
          <w:tcPr>
            <w:tcW w:w="0" w:type="auto"/>
            <w:vMerge/>
            <w:shd w:val="clear" w:color="auto" w:fill="auto"/>
            <w:tcMar>
              <w:top w:w="100" w:type="dxa"/>
              <w:left w:w="100" w:type="dxa"/>
              <w:bottom w:w="100" w:type="dxa"/>
              <w:right w:w="100" w:type="dxa"/>
            </w:tcMar>
          </w:tcPr>
          <w:p w14:paraId="44CDD9CB"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28291651"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4B49E589" w14:textId="77777777" w:rsidR="00902209" w:rsidRPr="00B20B70" w:rsidRDefault="00902209" w:rsidP="00D12638">
            <w:pPr>
              <w:contextualSpacing/>
              <w:rPr>
                <w:color w:val="000000" w:themeColor="text1"/>
                <w:sz w:val="24"/>
                <w:szCs w:val="24"/>
              </w:rPr>
            </w:pPr>
            <w:r w:rsidRPr="00B20B70">
              <w:rPr>
                <w:color w:val="000000" w:themeColor="text1"/>
                <w:sz w:val="24"/>
                <w:szCs w:val="24"/>
              </w:rPr>
              <w:t>Racism</w:t>
            </w:r>
          </w:p>
        </w:tc>
        <w:tc>
          <w:tcPr>
            <w:tcW w:w="0" w:type="auto"/>
            <w:shd w:val="clear" w:color="auto" w:fill="auto"/>
            <w:tcMar>
              <w:top w:w="100" w:type="dxa"/>
              <w:left w:w="100" w:type="dxa"/>
              <w:bottom w:w="100" w:type="dxa"/>
              <w:right w:w="100" w:type="dxa"/>
            </w:tcMar>
          </w:tcPr>
          <w:p w14:paraId="6CF796E1"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RAS</w:t>
            </w:r>
          </w:p>
        </w:tc>
        <w:tc>
          <w:tcPr>
            <w:tcW w:w="0" w:type="auto"/>
            <w:shd w:val="clear" w:color="auto" w:fill="auto"/>
            <w:tcMar>
              <w:top w:w="100" w:type="dxa"/>
              <w:left w:w="100" w:type="dxa"/>
              <w:bottom w:w="100" w:type="dxa"/>
              <w:right w:w="100" w:type="dxa"/>
            </w:tcMar>
          </w:tcPr>
          <w:p w14:paraId="716414F8"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setting and message of the hoax indicate racial prejudice.</w:t>
            </w:r>
          </w:p>
        </w:tc>
      </w:tr>
      <w:tr w:rsidR="00902209" w:rsidRPr="00B20B70" w14:paraId="65D7C612" w14:textId="77777777" w:rsidTr="004226CF">
        <w:trPr>
          <w:trHeight w:val="410"/>
        </w:trPr>
        <w:tc>
          <w:tcPr>
            <w:tcW w:w="0" w:type="auto"/>
            <w:vMerge w:val="restart"/>
            <w:shd w:val="clear" w:color="auto" w:fill="auto"/>
            <w:tcMar>
              <w:top w:w="100" w:type="dxa"/>
              <w:left w:w="100" w:type="dxa"/>
              <w:bottom w:w="100" w:type="dxa"/>
              <w:right w:w="100" w:type="dxa"/>
            </w:tcMar>
          </w:tcPr>
          <w:p w14:paraId="4421B426" w14:textId="77777777" w:rsidR="00902209" w:rsidRPr="00B20B70" w:rsidRDefault="00902209" w:rsidP="00D12638">
            <w:pPr>
              <w:pBdr>
                <w:top w:val="nil"/>
                <w:left w:val="nil"/>
                <w:bottom w:val="nil"/>
                <w:right w:val="nil"/>
                <w:between w:val="nil"/>
              </w:pBdr>
              <w:ind w:right="-15"/>
              <w:contextualSpacing/>
              <w:jc w:val="center"/>
              <w:rPr>
                <w:color w:val="000000" w:themeColor="text1"/>
                <w:sz w:val="24"/>
                <w:szCs w:val="24"/>
                <w:lang w:val="id-ID"/>
              </w:rPr>
            </w:pPr>
            <w:r w:rsidRPr="00B20B70">
              <w:rPr>
                <w:color w:val="000000" w:themeColor="text1"/>
                <w:sz w:val="24"/>
                <w:szCs w:val="24"/>
                <w:lang w:val="id-ID"/>
              </w:rPr>
              <w:t>4.</w:t>
            </w:r>
          </w:p>
        </w:tc>
        <w:tc>
          <w:tcPr>
            <w:tcW w:w="0" w:type="auto"/>
            <w:vMerge w:val="restart"/>
            <w:shd w:val="clear" w:color="auto" w:fill="auto"/>
            <w:tcMar>
              <w:top w:w="100" w:type="dxa"/>
              <w:left w:w="100" w:type="dxa"/>
              <w:bottom w:w="100" w:type="dxa"/>
              <w:right w:w="100" w:type="dxa"/>
            </w:tcMar>
          </w:tcPr>
          <w:p w14:paraId="5C0901DA"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Scope: The targeted place mentioned or implied in the hoax.</w:t>
            </w:r>
          </w:p>
        </w:tc>
        <w:tc>
          <w:tcPr>
            <w:tcW w:w="0" w:type="auto"/>
            <w:shd w:val="clear" w:color="auto" w:fill="auto"/>
            <w:tcMar>
              <w:top w:w="100" w:type="dxa"/>
              <w:left w:w="100" w:type="dxa"/>
              <w:bottom w:w="100" w:type="dxa"/>
              <w:right w:w="100" w:type="dxa"/>
            </w:tcMar>
          </w:tcPr>
          <w:p w14:paraId="6098DF2F" w14:textId="77777777" w:rsidR="00902209" w:rsidRPr="00B20B70" w:rsidRDefault="00902209" w:rsidP="00D12638">
            <w:pPr>
              <w:contextualSpacing/>
              <w:rPr>
                <w:color w:val="000000" w:themeColor="text1"/>
                <w:sz w:val="24"/>
                <w:szCs w:val="24"/>
              </w:rPr>
            </w:pPr>
            <w:r w:rsidRPr="00B20B70">
              <w:rPr>
                <w:color w:val="000000" w:themeColor="text1"/>
                <w:sz w:val="24"/>
                <w:szCs w:val="24"/>
              </w:rPr>
              <w:t>Local</w:t>
            </w:r>
          </w:p>
        </w:tc>
        <w:tc>
          <w:tcPr>
            <w:tcW w:w="0" w:type="auto"/>
            <w:shd w:val="clear" w:color="auto" w:fill="auto"/>
            <w:tcMar>
              <w:top w:w="100" w:type="dxa"/>
              <w:left w:w="100" w:type="dxa"/>
              <w:bottom w:w="100" w:type="dxa"/>
              <w:right w:w="100" w:type="dxa"/>
            </w:tcMar>
          </w:tcPr>
          <w:p w14:paraId="63B709D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LOC</w:t>
            </w:r>
          </w:p>
        </w:tc>
        <w:tc>
          <w:tcPr>
            <w:tcW w:w="0" w:type="auto"/>
            <w:shd w:val="clear" w:color="auto" w:fill="auto"/>
            <w:tcMar>
              <w:top w:w="100" w:type="dxa"/>
              <w:left w:w="100" w:type="dxa"/>
              <w:bottom w:w="100" w:type="dxa"/>
              <w:right w:w="100" w:type="dxa"/>
            </w:tcMar>
          </w:tcPr>
          <w:p w14:paraId="0001F319" w14:textId="3F5FF323"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place mentioned or implied refers to local neighbo</w:t>
            </w:r>
            <w:r w:rsidR="00D12638">
              <w:rPr>
                <w:color w:val="000000" w:themeColor="text1"/>
                <w:sz w:val="24"/>
                <w:szCs w:val="24"/>
              </w:rPr>
              <w:t>u</w:t>
            </w:r>
            <w:r w:rsidRPr="00B20B70">
              <w:rPr>
                <w:color w:val="000000" w:themeColor="text1"/>
                <w:sz w:val="24"/>
                <w:szCs w:val="24"/>
              </w:rPr>
              <w:t>rhood or district</w:t>
            </w:r>
          </w:p>
        </w:tc>
      </w:tr>
      <w:tr w:rsidR="00902209" w:rsidRPr="00B20B70" w14:paraId="54B8546B" w14:textId="77777777" w:rsidTr="004226CF">
        <w:trPr>
          <w:trHeight w:val="410"/>
        </w:trPr>
        <w:tc>
          <w:tcPr>
            <w:tcW w:w="0" w:type="auto"/>
            <w:vMerge/>
            <w:shd w:val="clear" w:color="auto" w:fill="auto"/>
            <w:tcMar>
              <w:top w:w="100" w:type="dxa"/>
              <w:left w:w="100" w:type="dxa"/>
              <w:bottom w:w="100" w:type="dxa"/>
              <w:right w:w="100" w:type="dxa"/>
            </w:tcMar>
          </w:tcPr>
          <w:p w14:paraId="21D67F07"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3CD3F2C1"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2A14AD55"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International </w:t>
            </w:r>
          </w:p>
        </w:tc>
        <w:tc>
          <w:tcPr>
            <w:tcW w:w="0" w:type="auto"/>
            <w:shd w:val="clear" w:color="auto" w:fill="auto"/>
            <w:tcMar>
              <w:top w:w="100" w:type="dxa"/>
              <w:left w:w="100" w:type="dxa"/>
              <w:bottom w:w="100" w:type="dxa"/>
              <w:right w:w="100" w:type="dxa"/>
            </w:tcMar>
          </w:tcPr>
          <w:p w14:paraId="764A59D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INT</w:t>
            </w:r>
          </w:p>
        </w:tc>
        <w:tc>
          <w:tcPr>
            <w:tcW w:w="0" w:type="auto"/>
            <w:shd w:val="clear" w:color="auto" w:fill="auto"/>
            <w:tcMar>
              <w:top w:w="100" w:type="dxa"/>
              <w:left w:w="100" w:type="dxa"/>
              <w:bottom w:w="100" w:type="dxa"/>
              <w:right w:w="100" w:type="dxa"/>
            </w:tcMar>
          </w:tcPr>
          <w:p w14:paraId="1D655D48"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place mentioned or implied refers to abroad countries and locations</w:t>
            </w:r>
          </w:p>
        </w:tc>
      </w:tr>
      <w:tr w:rsidR="00902209" w:rsidRPr="00B20B70" w14:paraId="6C49AA7C" w14:textId="77777777" w:rsidTr="004226CF">
        <w:trPr>
          <w:trHeight w:val="410"/>
        </w:trPr>
        <w:tc>
          <w:tcPr>
            <w:tcW w:w="0" w:type="auto"/>
            <w:vMerge/>
            <w:shd w:val="clear" w:color="auto" w:fill="auto"/>
            <w:tcMar>
              <w:top w:w="100" w:type="dxa"/>
              <w:left w:w="100" w:type="dxa"/>
              <w:bottom w:w="100" w:type="dxa"/>
              <w:right w:w="100" w:type="dxa"/>
            </w:tcMar>
          </w:tcPr>
          <w:p w14:paraId="3E8B6EBA"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0623B7F4"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2354D213" w14:textId="77777777" w:rsidR="00902209" w:rsidRPr="00B20B70" w:rsidRDefault="00902209" w:rsidP="00D12638">
            <w:pPr>
              <w:contextualSpacing/>
              <w:rPr>
                <w:color w:val="000000" w:themeColor="text1"/>
                <w:sz w:val="24"/>
                <w:szCs w:val="24"/>
              </w:rPr>
            </w:pPr>
            <w:r w:rsidRPr="00B20B70">
              <w:rPr>
                <w:color w:val="000000" w:themeColor="text1"/>
                <w:sz w:val="24"/>
                <w:szCs w:val="24"/>
              </w:rPr>
              <w:t>National</w:t>
            </w:r>
          </w:p>
        </w:tc>
        <w:tc>
          <w:tcPr>
            <w:tcW w:w="0" w:type="auto"/>
            <w:shd w:val="clear" w:color="auto" w:fill="auto"/>
            <w:tcMar>
              <w:top w:w="100" w:type="dxa"/>
              <w:left w:w="100" w:type="dxa"/>
              <w:bottom w:w="100" w:type="dxa"/>
              <w:right w:w="100" w:type="dxa"/>
            </w:tcMar>
          </w:tcPr>
          <w:p w14:paraId="080BF2D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NAT</w:t>
            </w:r>
          </w:p>
        </w:tc>
        <w:tc>
          <w:tcPr>
            <w:tcW w:w="0" w:type="auto"/>
            <w:shd w:val="clear" w:color="auto" w:fill="auto"/>
            <w:tcMar>
              <w:top w:w="100" w:type="dxa"/>
              <w:left w:w="100" w:type="dxa"/>
              <w:bottom w:w="100" w:type="dxa"/>
              <w:right w:w="100" w:type="dxa"/>
            </w:tcMar>
          </w:tcPr>
          <w:p w14:paraId="4D7067C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place mentioned or implied refers only to Indonesia.</w:t>
            </w:r>
          </w:p>
        </w:tc>
      </w:tr>
      <w:tr w:rsidR="00902209" w:rsidRPr="00B20B70" w14:paraId="6AFC8A9A" w14:textId="77777777" w:rsidTr="004226CF">
        <w:trPr>
          <w:trHeight w:val="410"/>
        </w:trPr>
        <w:tc>
          <w:tcPr>
            <w:tcW w:w="0" w:type="auto"/>
            <w:vMerge/>
            <w:shd w:val="clear" w:color="auto" w:fill="auto"/>
            <w:tcMar>
              <w:top w:w="100" w:type="dxa"/>
              <w:left w:w="100" w:type="dxa"/>
              <w:bottom w:w="100" w:type="dxa"/>
              <w:right w:w="100" w:type="dxa"/>
            </w:tcMar>
          </w:tcPr>
          <w:p w14:paraId="611E408B"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vMerge/>
            <w:shd w:val="clear" w:color="auto" w:fill="auto"/>
            <w:tcMar>
              <w:top w:w="100" w:type="dxa"/>
              <w:left w:w="100" w:type="dxa"/>
              <w:bottom w:w="100" w:type="dxa"/>
              <w:right w:w="100" w:type="dxa"/>
            </w:tcMar>
          </w:tcPr>
          <w:p w14:paraId="609F0B1B"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5079F941"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Regional </w:t>
            </w:r>
          </w:p>
        </w:tc>
        <w:tc>
          <w:tcPr>
            <w:tcW w:w="0" w:type="auto"/>
            <w:shd w:val="clear" w:color="auto" w:fill="auto"/>
            <w:tcMar>
              <w:top w:w="100" w:type="dxa"/>
              <w:left w:w="100" w:type="dxa"/>
              <w:bottom w:w="100" w:type="dxa"/>
              <w:right w:w="100" w:type="dxa"/>
            </w:tcMar>
          </w:tcPr>
          <w:p w14:paraId="725C0269"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REG</w:t>
            </w:r>
          </w:p>
        </w:tc>
        <w:tc>
          <w:tcPr>
            <w:tcW w:w="0" w:type="auto"/>
            <w:shd w:val="clear" w:color="auto" w:fill="auto"/>
            <w:tcMar>
              <w:top w:w="100" w:type="dxa"/>
              <w:left w:w="100" w:type="dxa"/>
              <w:bottom w:w="100" w:type="dxa"/>
              <w:right w:w="100" w:type="dxa"/>
            </w:tcMar>
          </w:tcPr>
          <w:p w14:paraId="4ED5612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place mentioned or implied refers to the province.</w:t>
            </w:r>
          </w:p>
        </w:tc>
      </w:tr>
      <w:tr w:rsidR="00902209" w:rsidRPr="00B20B70" w14:paraId="34B22F7C" w14:textId="77777777" w:rsidTr="004226CF">
        <w:trPr>
          <w:trHeight w:val="792"/>
        </w:trPr>
        <w:tc>
          <w:tcPr>
            <w:tcW w:w="0" w:type="auto"/>
            <w:shd w:val="clear" w:color="auto" w:fill="auto"/>
            <w:tcMar>
              <w:top w:w="100" w:type="dxa"/>
              <w:left w:w="100" w:type="dxa"/>
              <w:bottom w:w="100" w:type="dxa"/>
              <w:right w:w="100" w:type="dxa"/>
            </w:tcMar>
          </w:tcPr>
          <w:p w14:paraId="755E1EB1" w14:textId="6107E882" w:rsidR="00902209" w:rsidRPr="00B20B70" w:rsidRDefault="00172A50"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5</w:t>
            </w:r>
          </w:p>
        </w:tc>
        <w:tc>
          <w:tcPr>
            <w:tcW w:w="0" w:type="auto"/>
            <w:shd w:val="clear" w:color="auto" w:fill="auto"/>
            <w:tcMar>
              <w:top w:w="100" w:type="dxa"/>
              <w:left w:w="100" w:type="dxa"/>
              <w:bottom w:w="100" w:type="dxa"/>
              <w:right w:w="100" w:type="dxa"/>
            </w:tcMar>
          </w:tcPr>
          <w:p w14:paraId="36CC6A1B" w14:textId="1B12B9F7" w:rsidR="00902209" w:rsidRPr="00B20B70" w:rsidRDefault="00172A50"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Media</w:t>
            </w:r>
            <w:r w:rsidR="00902209" w:rsidRPr="00B20B70">
              <w:rPr>
                <w:color w:val="000000" w:themeColor="text1"/>
                <w:sz w:val="24"/>
                <w:szCs w:val="24"/>
              </w:rPr>
              <w:t xml:space="preserve">: The social media platform utilized </w:t>
            </w:r>
          </w:p>
        </w:tc>
        <w:tc>
          <w:tcPr>
            <w:tcW w:w="0" w:type="auto"/>
            <w:shd w:val="clear" w:color="auto" w:fill="auto"/>
            <w:tcMar>
              <w:top w:w="100" w:type="dxa"/>
              <w:left w:w="100" w:type="dxa"/>
              <w:bottom w:w="100" w:type="dxa"/>
              <w:right w:w="100" w:type="dxa"/>
            </w:tcMar>
          </w:tcPr>
          <w:p w14:paraId="5B0F66BF"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Facebook </w:t>
            </w:r>
          </w:p>
        </w:tc>
        <w:tc>
          <w:tcPr>
            <w:tcW w:w="0" w:type="auto"/>
            <w:shd w:val="clear" w:color="auto" w:fill="auto"/>
            <w:tcMar>
              <w:top w:w="100" w:type="dxa"/>
              <w:left w:w="100" w:type="dxa"/>
              <w:bottom w:w="100" w:type="dxa"/>
              <w:right w:w="100" w:type="dxa"/>
            </w:tcMar>
          </w:tcPr>
          <w:p w14:paraId="78E59E8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FAB</w:t>
            </w:r>
          </w:p>
        </w:tc>
        <w:tc>
          <w:tcPr>
            <w:tcW w:w="0" w:type="auto"/>
            <w:shd w:val="clear" w:color="auto" w:fill="auto"/>
            <w:tcMar>
              <w:top w:w="100" w:type="dxa"/>
              <w:left w:w="100" w:type="dxa"/>
              <w:bottom w:w="100" w:type="dxa"/>
              <w:right w:w="100" w:type="dxa"/>
            </w:tcMar>
          </w:tcPr>
          <w:p w14:paraId="1BFF858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hoax distribution social media platform is Facebook. </w:t>
            </w:r>
          </w:p>
        </w:tc>
      </w:tr>
      <w:tr w:rsidR="00902209" w:rsidRPr="00B20B70" w14:paraId="3D9A8B20" w14:textId="77777777" w:rsidTr="004226CF">
        <w:trPr>
          <w:trHeight w:val="513"/>
        </w:trPr>
        <w:tc>
          <w:tcPr>
            <w:tcW w:w="0" w:type="auto"/>
            <w:shd w:val="clear" w:color="auto" w:fill="auto"/>
            <w:tcMar>
              <w:top w:w="100" w:type="dxa"/>
              <w:left w:w="100" w:type="dxa"/>
              <w:bottom w:w="100" w:type="dxa"/>
              <w:right w:w="100" w:type="dxa"/>
            </w:tcMar>
          </w:tcPr>
          <w:p w14:paraId="32D47EAA"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1D0C18B3"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741C55CE"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WhatsApp </w:t>
            </w:r>
          </w:p>
        </w:tc>
        <w:tc>
          <w:tcPr>
            <w:tcW w:w="0" w:type="auto"/>
            <w:shd w:val="clear" w:color="auto" w:fill="auto"/>
            <w:tcMar>
              <w:top w:w="100" w:type="dxa"/>
              <w:left w:w="100" w:type="dxa"/>
              <w:bottom w:w="100" w:type="dxa"/>
              <w:right w:w="100" w:type="dxa"/>
            </w:tcMar>
          </w:tcPr>
          <w:p w14:paraId="7E14A450"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WHA</w:t>
            </w:r>
          </w:p>
        </w:tc>
        <w:tc>
          <w:tcPr>
            <w:tcW w:w="0" w:type="auto"/>
            <w:shd w:val="clear" w:color="auto" w:fill="auto"/>
            <w:tcMar>
              <w:top w:w="100" w:type="dxa"/>
              <w:left w:w="100" w:type="dxa"/>
              <w:bottom w:w="100" w:type="dxa"/>
              <w:right w:w="100" w:type="dxa"/>
            </w:tcMar>
          </w:tcPr>
          <w:p w14:paraId="78F0813A"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hoax distribution social media platform is WhatsApp.</w:t>
            </w:r>
          </w:p>
        </w:tc>
      </w:tr>
      <w:tr w:rsidR="00902209" w:rsidRPr="00B20B70" w14:paraId="0CE08981" w14:textId="77777777" w:rsidTr="004226CF">
        <w:trPr>
          <w:trHeight w:val="528"/>
        </w:trPr>
        <w:tc>
          <w:tcPr>
            <w:tcW w:w="0" w:type="auto"/>
            <w:shd w:val="clear" w:color="auto" w:fill="auto"/>
            <w:tcMar>
              <w:top w:w="100" w:type="dxa"/>
              <w:left w:w="100" w:type="dxa"/>
              <w:bottom w:w="100" w:type="dxa"/>
              <w:right w:w="100" w:type="dxa"/>
            </w:tcMar>
          </w:tcPr>
          <w:p w14:paraId="6CD82A9B"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3BE7704C"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8CBF458"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Twitter </w:t>
            </w:r>
          </w:p>
        </w:tc>
        <w:tc>
          <w:tcPr>
            <w:tcW w:w="0" w:type="auto"/>
            <w:shd w:val="clear" w:color="auto" w:fill="auto"/>
            <w:tcMar>
              <w:top w:w="100" w:type="dxa"/>
              <w:left w:w="100" w:type="dxa"/>
              <w:bottom w:w="100" w:type="dxa"/>
              <w:right w:w="100" w:type="dxa"/>
            </w:tcMar>
          </w:tcPr>
          <w:p w14:paraId="03699A8E"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TWI</w:t>
            </w:r>
          </w:p>
        </w:tc>
        <w:tc>
          <w:tcPr>
            <w:tcW w:w="0" w:type="auto"/>
            <w:shd w:val="clear" w:color="auto" w:fill="auto"/>
            <w:tcMar>
              <w:top w:w="100" w:type="dxa"/>
              <w:left w:w="100" w:type="dxa"/>
              <w:bottom w:w="100" w:type="dxa"/>
              <w:right w:w="100" w:type="dxa"/>
            </w:tcMar>
          </w:tcPr>
          <w:p w14:paraId="055AF11D"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hoax distribution social media platform is Twitter.</w:t>
            </w:r>
          </w:p>
        </w:tc>
      </w:tr>
      <w:tr w:rsidR="00902209" w:rsidRPr="00B20B70" w14:paraId="46DC0991" w14:textId="77777777" w:rsidTr="004226CF">
        <w:trPr>
          <w:trHeight w:val="513"/>
        </w:trPr>
        <w:tc>
          <w:tcPr>
            <w:tcW w:w="0" w:type="auto"/>
            <w:shd w:val="clear" w:color="auto" w:fill="auto"/>
            <w:tcMar>
              <w:top w:w="100" w:type="dxa"/>
              <w:left w:w="100" w:type="dxa"/>
              <w:bottom w:w="100" w:type="dxa"/>
              <w:right w:w="100" w:type="dxa"/>
            </w:tcMar>
          </w:tcPr>
          <w:p w14:paraId="1D07D489"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507147DD"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24DEB6B0"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Internet </w:t>
            </w:r>
          </w:p>
        </w:tc>
        <w:tc>
          <w:tcPr>
            <w:tcW w:w="0" w:type="auto"/>
            <w:shd w:val="clear" w:color="auto" w:fill="auto"/>
            <w:tcMar>
              <w:top w:w="100" w:type="dxa"/>
              <w:left w:w="100" w:type="dxa"/>
              <w:bottom w:w="100" w:type="dxa"/>
              <w:right w:w="100" w:type="dxa"/>
            </w:tcMar>
          </w:tcPr>
          <w:p w14:paraId="0F1349C5"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NET</w:t>
            </w:r>
          </w:p>
        </w:tc>
        <w:tc>
          <w:tcPr>
            <w:tcW w:w="0" w:type="auto"/>
            <w:shd w:val="clear" w:color="auto" w:fill="auto"/>
            <w:tcMar>
              <w:top w:w="100" w:type="dxa"/>
              <w:left w:w="100" w:type="dxa"/>
              <w:bottom w:w="100" w:type="dxa"/>
              <w:right w:w="100" w:type="dxa"/>
            </w:tcMar>
          </w:tcPr>
          <w:p w14:paraId="7201B725"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hoax distribution platform is the Internet.</w:t>
            </w:r>
          </w:p>
        </w:tc>
      </w:tr>
      <w:tr w:rsidR="00902209" w:rsidRPr="00B20B70" w14:paraId="5BD586A1" w14:textId="77777777" w:rsidTr="004226CF">
        <w:trPr>
          <w:trHeight w:val="528"/>
        </w:trPr>
        <w:tc>
          <w:tcPr>
            <w:tcW w:w="0" w:type="auto"/>
            <w:shd w:val="clear" w:color="auto" w:fill="auto"/>
            <w:tcMar>
              <w:top w:w="100" w:type="dxa"/>
              <w:left w:w="100" w:type="dxa"/>
              <w:bottom w:w="100" w:type="dxa"/>
              <w:right w:w="100" w:type="dxa"/>
            </w:tcMar>
          </w:tcPr>
          <w:p w14:paraId="0267D4B9"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645876E6"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30D65084" w14:textId="77777777" w:rsidR="00902209" w:rsidRPr="00B20B70" w:rsidRDefault="00902209" w:rsidP="00D12638">
            <w:pPr>
              <w:contextualSpacing/>
              <w:rPr>
                <w:color w:val="000000" w:themeColor="text1"/>
                <w:sz w:val="24"/>
                <w:szCs w:val="24"/>
              </w:rPr>
            </w:pPr>
            <w:r w:rsidRPr="00B20B70">
              <w:rPr>
                <w:color w:val="000000" w:themeColor="text1"/>
                <w:sz w:val="24"/>
                <w:szCs w:val="24"/>
              </w:rPr>
              <w:t>Instagram</w:t>
            </w:r>
          </w:p>
        </w:tc>
        <w:tc>
          <w:tcPr>
            <w:tcW w:w="0" w:type="auto"/>
            <w:shd w:val="clear" w:color="auto" w:fill="auto"/>
            <w:tcMar>
              <w:top w:w="100" w:type="dxa"/>
              <w:left w:w="100" w:type="dxa"/>
              <w:bottom w:w="100" w:type="dxa"/>
              <w:right w:w="100" w:type="dxa"/>
            </w:tcMar>
          </w:tcPr>
          <w:p w14:paraId="28DBA535"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IGM</w:t>
            </w:r>
          </w:p>
        </w:tc>
        <w:tc>
          <w:tcPr>
            <w:tcW w:w="0" w:type="auto"/>
            <w:shd w:val="clear" w:color="auto" w:fill="auto"/>
            <w:tcMar>
              <w:top w:w="100" w:type="dxa"/>
              <w:left w:w="100" w:type="dxa"/>
              <w:bottom w:w="100" w:type="dxa"/>
              <w:right w:w="100" w:type="dxa"/>
            </w:tcMar>
          </w:tcPr>
          <w:p w14:paraId="0D5DA026"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hoax distribution social media platform is Instagram.</w:t>
            </w:r>
          </w:p>
        </w:tc>
      </w:tr>
      <w:tr w:rsidR="00902209" w:rsidRPr="00B20B70" w14:paraId="65D50F0E" w14:textId="77777777" w:rsidTr="004226CF">
        <w:trPr>
          <w:trHeight w:val="513"/>
        </w:trPr>
        <w:tc>
          <w:tcPr>
            <w:tcW w:w="0" w:type="auto"/>
            <w:shd w:val="clear" w:color="auto" w:fill="auto"/>
            <w:tcMar>
              <w:top w:w="100" w:type="dxa"/>
              <w:left w:w="100" w:type="dxa"/>
              <w:bottom w:w="100" w:type="dxa"/>
              <w:right w:w="100" w:type="dxa"/>
            </w:tcMar>
          </w:tcPr>
          <w:p w14:paraId="299AAA80"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2D8BCC70"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672EB9A7" w14:textId="77777777" w:rsidR="00902209" w:rsidRPr="00B20B70" w:rsidRDefault="00902209" w:rsidP="00D12638">
            <w:pPr>
              <w:contextualSpacing/>
              <w:rPr>
                <w:color w:val="000000" w:themeColor="text1"/>
                <w:sz w:val="24"/>
                <w:szCs w:val="24"/>
              </w:rPr>
            </w:pPr>
            <w:r w:rsidRPr="00B20B70">
              <w:rPr>
                <w:color w:val="000000" w:themeColor="text1"/>
                <w:sz w:val="24"/>
                <w:szCs w:val="24"/>
              </w:rPr>
              <w:t xml:space="preserve">YouTube </w:t>
            </w:r>
          </w:p>
        </w:tc>
        <w:tc>
          <w:tcPr>
            <w:tcW w:w="0" w:type="auto"/>
            <w:shd w:val="clear" w:color="auto" w:fill="auto"/>
            <w:tcMar>
              <w:top w:w="100" w:type="dxa"/>
              <w:left w:w="100" w:type="dxa"/>
              <w:bottom w:w="100" w:type="dxa"/>
              <w:right w:w="100" w:type="dxa"/>
            </w:tcMar>
          </w:tcPr>
          <w:p w14:paraId="06953B20"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YOT</w:t>
            </w:r>
          </w:p>
        </w:tc>
        <w:tc>
          <w:tcPr>
            <w:tcW w:w="0" w:type="auto"/>
            <w:shd w:val="clear" w:color="auto" w:fill="auto"/>
            <w:tcMar>
              <w:top w:w="100" w:type="dxa"/>
              <w:left w:w="100" w:type="dxa"/>
              <w:bottom w:w="100" w:type="dxa"/>
              <w:right w:w="100" w:type="dxa"/>
            </w:tcMar>
          </w:tcPr>
          <w:p w14:paraId="2609ECF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The hoax distribution social media platform is YouTube.</w:t>
            </w:r>
          </w:p>
        </w:tc>
      </w:tr>
      <w:tr w:rsidR="00902209" w:rsidRPr="00B20B70" w14:paraId="5A4F99B1" w14:textId="77777777" w:rsidTr="004226CF">
        <w:trPr>
          <w:trHeight w:val="528"/>
        </w:trPr>
        <w:tc>
          <w:tcPr>
            <w:tcW w:w="0" w:type="auto"/>
            <w:shd w:val="clear" w:color="auto" w:fill="auto"/>
            <w:tcMar>
              <w:top w:w="100" w:type="dxa"/>
              <w:left w:w="100" w:type="dxa"/>
              <w:bottom w:w="100" w:type="dxa"/>
              <w:right w:w="100" w:type="dxa"/>
            </w:tcMar>
          </w:tcPr>
          <w:p w14:paraId="39AF7CEE" w14:textId="076FA250" w:rsidR="00902209" w:rsidRPr="00B20B70" w:rsidRDefault="00172A50" w:rsidP="00D12638">
            <w:pPr>
              <w:pBdr>
                <w:top w:val="nil"/>
                <w:left w:val="nil"/>
                <w:bottom w:val="nil"/>
                <w:right w:val="nil"/>
                <w:between w:val="nil"/>
              </w:pBdr>
              <w:contextualSpacing/>
              <w:jc w:val="center"/>
              <w:rPr>
                <w:color w:val="000000" w:themeColor="text1"/>
                <w:sz w:val="24"/>
                <w:szCs w:val="24"/>
              </w:rPr>
            </w:pPr>
            <w:r w:rsidRPr="00B20B70">
              <w:rPr>
                <w:color w:val="000000" w:themeColor="text1"/>
                <w:sz w:val="24"/>
                <w:szCs w:val="24"/>
              </w:rPr>
              <w:t>6</w:t>
            </w:r>
          </w:p>
        </w:tc>
        <w:tc>
          <w:tcPr>
            <w:tcW w:w="0" w:type="auto"/>
            <w:shd w:val="clear" w:color="auto" w:fill="auto"/>
            <w:tcMar>
              <w:top w:w="100" w:type="dxa"/>
              <w:left w:w="100" w:type="dxa"/>
              <w:bottom w:w="100" w:type="dxa"/>
              <w:right w:w="100" w:type="dxa"/>
            </w:tcMar>
          </w:tcPr>
          <w:p w14:paraId="1C587F12" w14:textId="39DA4E0E" w:rsidR="00902209" w:rsidRPr="00B20B70" w:rsidRDefault="00031383" w:rsidP="00D12638">
            <w:pPr>
              <w:pBdr>
                <w:top w:val="nil"/>
                <w:left w:val="nil"/>
                <w:bottom w:val="nil"/>
                <w:right w:val="nil"/>
                <w:between w:val="nil"/>
              </w:pBdr>
              <w:contextualSpacing/>
              <w:rPr>
                <w:color w:val="000000" w:themeColor="text1"/>
                <w:sz w:val="24"/>
                <w:szCs w:val="24"/>
              </w:rPr>
            </w:pPr>
            <w:r>
              <w:rPr>
                <w:color w:val="000000" w:themeColor="text1"/>
                <w:sz w:val="24"/>
                <w:szCs w:val="24"/>
              </w:rPr>
              <w:t>Rumors</w:t>
            </w:r>
            <w:r w:rsidR="00902209" w:rsidRPr="00B20B70">
              <w:rPr>
                <w:color w:val="000000" w:themeColor="text1"/>
                <w:sz w:val="24"/>
                <w:szCs w:val="24"/>
              </w:rPr>
              <w:t xml:space="preserve">: Types of </w:t>
            </w:r>
            <w:r>
              <w:rPr>
                <w:color w:val="000000" w:themeColor="text1"/>
                <w:sz w:val="24"/>
                <w:szCs w:val="24"/>
              </w:rPr>
              <w:t>rumors</w:t>
            </w:r>
            <w:r w:rsidR="00902209" w:rsidRPr="00B20B70">
              <w:rPr>
                <w:color w:val="000000" w:themeColor="text1"/>
                <w:sz w:val="24"/>
                <w:szCs w:val="24"/>
              </w:rPr>
              <w:t xml:space="preserve"> implied in the hoax</w:t>
            </w:r>
          </w:p>
        </w:tc>
        <w:tc>
          <w:tcPr>
            <w:tcW w:w="0" w:type="auto"/>
            <w:shd w:val="clear" w:color="auto" w:fill="auto"/>
            <w:tcMar>
              <w:top w:w="100" w:type="dxa"/>
              <w:left w:w="100" w:type="dxa"/>
              <w:bottom w:w="100" w:type="dxa"/>
              <w:right w:w="100" w:type="dxa"/>
            </w:tcMar>
          </w:tcPr>
          <w:p w14:paraId="0A0F8965"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Dread</w:t>
            </w:r>
          </w:p>
        </w:tc>
        <w:tc>
          <w:tcPr>
            <w:tcW w:w="0" w:type="auto"/>
            <w:shd w:val="clear" w:color="auto" w:fill="auto"/>
            <w:tcMar>
              <w:top w:w="100" w:type="dxa"/>
              <w:left w:w="100" w:type="dxa"/>
              <w:bottom w:w="100" w:type="dxa"/>
              <w:right w:w="100" w:type="dxa"/>
            </w:tcMar>
          </w:tcPr>
          <w:p w14:paraId="11168F7B"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DRE</w:t>
            </w:r>
          </w:p>
        </w:tc>
        <w:tc>
          <w:tcPr>
            <w:tcW w:w="0" w:type="auto"/>
            <w:shd w:val="clear" w:color="auto" w:fill="auto"/>
            <w:tcMar>
              <w:top w:w="100" w:type="dxa"/>
              <w:left w:w="100" w:type="dxa"/>
              <w:bottom w:w="100" w:type="dxa"/>
              <w:right w:w="100" w:type="dxa"/>
            </w:tcMar>
          </w:tcPr>
          <w:p w14:paraId="298B2678" w14:textId="71849DE5"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w:t>
            </w:r>
            <w:r w:rsidR="00031383">
              <w:rPr>
                <w:color w:val="000000" w:themeColor="text1"/>
                <w:sz w:val="24"/>
                <w:szCs w:val="24"/>
              </w:rPr>
              <w:t>rumors</w:t>
            </w:r>
            <w:r w:rsidRPr="00B20B70">
              <w:rPr>
                <w:color w:val="000000" w:themeColor="text1"/>
                <w:sz w:val="24"/>
                <w:szCs w:val="24"/>
              </w:rPr>
              <w:t xml:space="preserve"> implied in the hoax incites fear and uncertainty.</w:t>
            </w:r>
          </w:p>
        </w:tc>
      </w:tr>
      <w:tr w:rsidR="00902209" w:rsidRPr="00B20B70" w14:paraId="0E859A02" w14:textId="77777777" w:rsidTr="004226CF">
        <w:trPr>
          <w:trHeight w:val="513"/>
        </w:trPr>
        <w:tc>
          <w:tcPr>
            <w:tcW w:w="0" w:type="auto"/>
            <w:shd w:val="clear" w:color="auto" w:fill="auto"/>
            <w:tcMar>
              <w:top w:w="100" w:type="dxa"/>
              <w:left w:w="100" w:type="dxa"/>
              <w:bottom w:w="100" w:type="dxa"/>
              <w:right w:w="100" w:type="dxa"/>
            </w:tcMar>
          </w:tcPr>
          <w:p w14:paraId="3AC7FBCF"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25140C3E"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0D266A69"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Wish</w:t>
            </w:r>
          </w:p>
        </w:tc>
        <w:tc>
          <w:tcPr>
            <w:tcW w:w="0" w:type="auto"/>
            <w:shd w:val="clear" w:color="auto" w:fill="auto"/>
            <w:tcMar>
              <w:top w:w="100" w:type="dxa"/>
              <w:left w:w="100" w:type="dxa"/>
              <w:bottom w:w="100" w:type="dxa"/>
              <w:right w:w="100" w:type="dxa"/>
            </w:tcMar>
          </w:tcPr>
          <w:p w14:paraId="15CD075A"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WSH</w:t>
            </w:r>
          </w:p>
        </w:tc>
        <w:tc>
          <w:tcPr>
            <w:tcW w:w="0" w:type="auto"/>
            <w:shd w:val="clear" w:color="auto" w:fill="auto"/>
            <w:tcMar>
              <w:top w:w="100" w:type="dxa"/>
              <w:left w:w="100" w:type="dxa"/>
              <w:bottom w:w="100" w:type="dxa"/>
              <w:right w:w="100" w:type="dxa"/>
            </w:tcMar>
          </w:tcPr>
          <w:p w14:paraId="759FCCED" w14:textId="2DE7800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w:t>
            </w:r>
            <w:r w:rsidR="00031383">
              <w:rPr>
                <w:color w:val="000000" w:themeColor="text1"/>
                <w:sz w:val="24"/>
                <w:szCs w:val="24"/>
              </w:rPr>
              <w:t>rumors</w:t>
            </w:r>
            <w:r w:rsidRPr="00B20B70">
              <w:rPr>
                <w:color w:val="000000" w:themeColor="text1"/>
                <w:sz w:val="24"/>
                <w:szCs w:val="24"/>
              </w:rPr>
              <w:t xml:space="preserve"> implied in the hoax incites optimism.</w:t>
            </w:r>
          </w:p>
        </w:tc>
      </w:tr>
      <w:tr w:rsidR="00902209" w:rsidRPr="00B20B70" w14:paraId="32B675C6" w14:textId="77777777" w:rsidTr="00D12638">
        <w:trPr>
          <w:trHeight w:val="435"/>
        </w:trPr>
        <w:tc>
          <w:tcPr>
            <w:tcW w:w="0" w:type="auto"/>
            <w:shd w:val="clear" w:color="auto" w:fill="auto"/>
            <w:tcMar>
              <w:top w:w="100" w:type="dxa"/>
              <w:left w:w="100" w:type="dxa"/>
              <w:bottom w:w="100" w:type="dxa"/>
              <w:right w:w="100" w:type="dxa"/>
            </w:tcMar>
          </w:tcPr>
          <w:p w14:paraId="36720695" w14:textId="77777777" w:rsidR="00902209" w:rsidRPr="00B20B70" w:rsidRDefault="00902209" w:rsidP="00D12638">
            <w:pPr>
              <w:pBdr>
                <w:top w:val="nil"/>
                <w:left w:val="nil"/>
                <w:bottom w:val="nil"/>
                <w:right w:val="nil"/>
                <w:between w:val="nil"/>
              </w:pBdr>
              <w:contextualSpacing/>
              <w:jc w:val="center"/>
              <w:rPr>
                <w:color w:val="000000" w:themeColor="text1"/>
                <w:sz w:val="24"/>
                <w:szCs w:val="24"/>
              </w:rPr>
            </w:pPr>
          </w:p>
        </w:tc>
        <w:tc>
          <w:tcPr>
            <w:tcW w:w="0" w:type="auto"/>
            <w:shd w:val="clear" w:color="auto" w:fill="auto"/>
            <w:tcMar>
              <w:top w:w="100" w:type="dxa"/>
              <w:left w:w="100" w:type="dxa"/>
              <w:bottom w:w="100" w:type="dxa"/>
              <w:right w:w="100" w:type="dxa"/>
            </w:tcMar>
          </w:tcPr>
          <w:p w14:paraId="4F736363" w14:textId="77777777" w:rsidR="00902209" w:rsidRPr="00B20B70" w:rsidRDefault="00902209" w:rsidP="00D12638">
            <w:pPr>
              <w:pBdr>
                <w:top w:val="nil"/>
                <w:left w:val="nil"/>
                <w:bottom w:val="nil"/>
                <w:right w:val="nil"/>
                <w:between w:val="nil"/>
              </w:pBdr>
              <w:contextualSpacing/>
              <w:rPr>
                <w:color w:val="000000" w:themeColor="text1"/>
                <w:sz w:val="24"/>
                <w:szCs w:val="24"/>
              </w:rPr>
            </w:pPr>
          </w:p>
        </w:tc>
        <w:tc>
          <w:tcPr>
            <w:tcW w:w="0" w:type="auto"/>
            <w:shd w:val="clear" w:color="auto" w:fill="auto"/>
            <w:tcMar>
              <w:top w:w="100" w:type="dxa"/>
              <w:left w:w="100" w:type="dxa"/>
              <w:bottom w:w="100" w:type="dxa"/>
              <w:right w:w="100" w:type="dxa"/>
            </w:tcMar>
          </w:tcPr>
          <w:p w14:paraId="18B89DF7"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Wedge</w:t>
            </w:r>
          </w:p>
        </w:tc>
        <w:tc>
          <w:tcPr>
            <w:tcW w:w="0" w:type="auto"/>
            <w:shd w:val="clear" w:color="auto" w:fill="auto"/>
            <w:tcMar>
              <w:top w:w="100" w:type="dxa"/>
              <w:left w:w="100" w:type="dxa"/>
              <w:bottom w:w="100" w:type="dxa"/>
              <w:right w:w="100" w:type="dxa"/>
            </w:tcMar>
          </w:tcPr>
          <w:p w14:paraId="7D90CDC4" w14:textId="77777777"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WDG</w:t>
            </w:r>
          </w:p>
        </w:tc>
        <w:tc>
          <w:tcPr>
            <w:tcW w:w="0" w:type="auto"/>
            <w:shd w:val="clear" w:color="auto" w:fill="auto"/>
            <w:tcMar>
              <w:top w:w="100" w:type="dxa"/>
              <w:left w:w="100" w:type="dxa"/>
              <w:bottom w:w="100" w:type="dxa"/>
              <w:right w:w="100" w:type="dxa"/>
            </w:tcMar>
          </w:tcPr>
          <w:p w14:paraId="3732CB85" w14:textId="71FA4181" w:rsidR="00902209" w:rsidRPr="00B20B70" w:rsidRDefault="00902209" w:rsidP="00D12638">
            <w:pPr>
              <w:pBdr>
                <w:top w:val="nil"/>
                <w:left w:val="nil"/>
                <w:bottom w:val="nil"/>
                <w:right w:val="nil"/>
                <w:between w:val="nil"/>
              </w:pBdr>
              <w:contextualSpacing/>
              <w:rPr>
                <w:color w:val="000000" w:themeColor="text1"/>
                <w:sz w:val="24"/>
                <w:szCs w:val="24"/>
              </w:rPr>
            </w:pPr>
            <w:r w:rsidRPr="00B20B70">
              <w:rPr>
                <w:color w:val="000000" w:themeColor="text1"/>
                <w:sz w:val="24"/>
                <w:szCs w:val="24"/>
              </w:rPr>
              <w:t xml:space="preserve">The </w:t>
            </w:r>
            <w:r w:rsidR="00031383">
              <w:rPr>
                <w:color w:val="000000" w:themeColor="text1"/>
                <w:sz w:val="24"/>
                <w:szCs w:val="24"/>
              </w:rPr>
              <w:t>rumors</w:t>
            </w:r>
            <w:r w:rsidRPr="00B20B70">
              <w:rPr>
                <w:color w:val="000000" w:themeColor="text1"/>
                <w:sz w:val="24"/>
                <w:szCs w:val="24"/>
              </w:rPr>
              <w:t xml:space="preserve"> implied in the hoax provokes conflict.</w:t>
            </w:r>
          </w:p>
        </w:tc>
      </w:tr>
    </w:tbl>
    <w:p w14:paraId="51968924" w14:textId="77777777" w:rsidR="00172A50" w:rsidRPr="00B20B70" w:rsidRDefault="00172A50" w:rsidP="00D12638">
      <w:pPr>
        <w:pStyle w:val="BodyText"/>
        <w:contextualSpacing/>
        <w:jc w:val="both"/>
        <w:rPr>
          <w:b/>
          <w:color w:val="000000" w:themeColor="text1"/>
          <w:sz w:val="24"/>
          <w:szCs w:val="24"/>
        </w:rPr>
      </w:pPr>
    </w:p>
    <w:p w14:paraId="26C60CD1" w14:textId="35121018" w:rsidR="00172A50" w:rsidRPr="00B20B70" w:rsidRDefault="00172A50" w:rsidP="00172A50">
      <w:pPr>
        <w:pStyle w:val="BodyText"/>
        <w:jc w:val="both"/>
        <w:rPr>
          <w:color w:val="000000" w:themeColor="text1"/>
          <w:sz w:val="24"/>
          <w:szCs w:val="24"/>
          <w:lang w:val="en-US"/>
        </w:rPr>
      </w:pPr>
      <w:r w:rsidRPr="00B20B70">
        <w:rPr>
          <w:color w:val="000000" w:themeColor="text1"/>
          <w:sz w:val="24"/>
          <w:szCs w:val="24"/>
        </w:rPr>
        <w:t xml:space="preserve">This study did not determine the sample. The data requires interpretations related to the issues to be discussed in the problem formulation to find out the problems to be revealed. Researchers with thinking skills are carried out this data procurement activity, </w:t>
      </w:r>
      <w:r w:rsidR="00667F63" w:rsidRPr="00B20B70">
        <w:rPr>
          <w:color w:val="000000" w:themeColor="text1"/>
          <w:sz w:val="24"/>
          <w:szCs w:val="24"/>
        </w:rPr>
        <w:t>including</w:t>
      </w:r>
      <w:r w:rsidRPr="00B20B70">
        <w:rPr>
          <w:color w:val="000000" w:themeColor="text1"/>
          <w:sz w:val="24"/>
          <w:szCs w:val="24"/>
        </w:rPr>
        <w:t xml:space="preserve"> knowledge, accuracy, and accuracy to obtain the required data.</w:t>
      </w:r>
      <w:r w:rsidRPr="00B20B70">
        <w:rPr>
          <w:color w:val="000000" w:themeColor="text1"/>
          <w:sz w:val="24"/>
          <w:szCs w:val="24"/>
          <w:lang w:val="en-US"/>
        </w:rPr>
        <w:t xml:space="preserve"> Th</w:t>
      </w:r>
      <w:r w:rsidR="00667F63" w:rsidRPr="00B20B70">
        <w:rPr>
          <w:color w:val="000000" w:themeColor="text1"/>
          <w:sz w:val="24"/>
          <w:szCs w:val="24"/>
          <w:lang w:val="en-US"/>
        </w:rPr>
        <w:t>is study's data</w:t>
      </w:r>
      <w:r w:rsidRPr="00B20B70">
        <w:rPr>
          <w:color w:val="000000" w:themeColor="text1"/>
          <w:sz w:val="24"/>
          <w:szCs w:val="24"/>
          <w:lang w:val="en-US"/>
        </w:rPr>
        <w:t xml:space="preserve"> are presented by describing the sentences relevant to the problem being studied, namely the adjusted elements in table 1. The technique used in this research is a qualitative / non-statistical descriptive analysis technique, namely the presentation of data that is not in the form of numbers but descriptive explanations. The method used is the content analysis method because this study uses unstructured data. Qualitative content analysis has developed rigorous coding and analysis techniques to obtain validity and reliability</w:t>
      </w:r>
      <w:r w:rsidR="00031383">
        <w:rPr>
          <w:color w:val="000000" w:themeColor="text1"/>
          <w:sz w:val="24"/>
          <w:szCs w:val="24"/>
          <w:lang w:val="en-US"/>
        </w:rPr>
        <w:fldChar w:fldCharType="begin" w:fldLock="1"/>
      </w:r>
      <w:r w:rsidR="00031383">
        <w:rPr>
          <w:color w:val="000000" w:themeColor="text1"/>
          <w:sz w:val="24"/>
          <w:szCs w:val="24"/>
          <w:lang w:val="en-US"/>
        </w:rPr>
        <w:instrText>ADDIN CSL_CITATION { "citationItems" : [ { "id" : "ITEM-1", "itemData" : { "DOI" : "10.1080/17511321.2019.1649300", "ISSN" : "1751133X", "abstract" : "Formulating a metaphysical definition of human play faces three main difficulties. First, for many years the very possibility, or need, for such a definition has been questioned. Second, very often attempts to metaphysically understand play \u2018slide off\u2019 to one of two incompatible poles: comprehension of play as a mental stance or mode of action vs. its interpretation as real action and a type of cultural activity. Third, metaphysical views of play have not yet decided through which main philosophical category it is possible to combine these polar points of view into a single whole. This article is based on the definiteness of human play in principle. It is dedicated to the philosophical categorization of play using the tools of qualitative content analysis and encompasses the widely cited views of leading scholars. The use of this methodology allowed me to distinguish between nine main philosophical themes through which play can be differentiated from all other forms of human existence. They are: \u2018partial escape from routine reality\u2019, \u2018freedom\u2019, \u2018autotelicity\u2019, \u2018play as a kind of being\u2019, \u2018imagination\u2019, \u2018exaggeration\u2019, \u2018temporality\u2019, \u2018discovery\u2019 and \u2018relocation\u2019. Through an in-depth study of these themes by reviewing current philosophical discussions about play it was possible: (1) to strengthen Fink\u2019s (1960a,b) thesis of play as a kind of existing and to focus comprehension of human play on the notion of \u2018escape to another being\u2019 as the desired \u2018single whole\u2019 joining play as state and play as action (this thesis is part of the main focus of the proposed study); and (2) to clarify and add to the themes found in the course of the research and formulate an overall philosophic definition of human play.", "author" : [ { "dropping-particle" : "", "family" : "Lebed", "given" : "Felix", "non-dropping-particle" : "", "parse-names" : false, "suffix" : "" } ], "container-title" : "Sport, Ethics and Philosophy", "id" : "ITEM-1", "issue" : "00", "issued" : { "date-parts" : [ [ "2019" ] ] }, "page" : "1-19", "publisher" : "Routledge", "title" : "On the Philosophical Definition of Human Play Using the Tools of Qualitative Content Analysis", "type" : "article-journal", "volume" : "00" }, "uris" : [ "http://www.mendeley.com/documents/?uuid=db13d29e-1250-4eff-9d74-602c18567ecc" ] } ], "mendeley" : { "formattedCitation" : "(Lebed, 2019)", "plainTextFormattedCitation" : "(Lebed, 2019)", "previouslyFormattedCitation" : "(Lebed, 2019)" }, "properties" : { "noteIndex" : 6 }, "schema" : "https://github.com/citation-style-language/schema/raw/master/csl-citation.json" }</w:instrText>
      </w:r>
      <w:r w:rsidR="00031383">
        <w:rPr>
          <w:color w:val="000000" w:themeColor="text1"/>
          <w:sz w:val="24"/>
          <w:szCs w:val="24"/>
          <w:lang w:val="en-US"/>
        </w:rPr>
        <w:fldChar w:fldCharType="separate"/>
      </w:r>
      <w:r w:rsidR="00031383" w:rsidRPr="00031383">
        <w:rPr>
          <w:noProof/>
          <w:color w:val="000000" w:themeColor="text1"/>
          <w:sz w:val="24"/>
          <w:szCs w:val="24"/>
          <w:lang w:val="en-US"/>
        </w:rPr>
        <w:t>(Lebed, 2019)</w:t>
      </w:r>
      <w:r w:rsidR="00031383">
        <w:rPr>
          <w:color w:val="000000" w:themeColor="text1"/>
          <w:sz w:val="24"/>
          <w:szCs w:val="24"/>
          <w:lang w:val="en-US"/>
        </w:rPr>
        <w:fldChar w:fldCharType="end"/>
      </w:r>
      <w:r w:rsidRPr="00B20B70">
        <w:rPr>
          <w:color w:val="000000" w:themeColor="text1"/>
          <w:sz w:val="24"/>
          <w:szCs w:val="24"/>
          <w:lang w:val="en-US"/>
        </w:rPr>
        <w:t>. Therefore, this study focuses on creating a bigger picture of the covid-19 phenomenon embedded in the context of the categories in table 1. conclusions can be drawn from the communicator, message or text, the situation around its creation, including the sociocultural background of the communication, and the effect of the news.</w:t>
      </w:r>
    </w:p>
    <w:p w14:paraId="6773BD91" w14:textId="77777777" w:rsidR="00667F63" w:rsidRPr="00B20B70" w:rsidRDefault="00667F63" w:rsidP="00667F63">
      <w:pPr>
        <w:jc w:val="both"/>
        <w:rPr>
          <w:b/>
          <w:sz w:val="24"/>
          <w:szCs w:val="24"/>
        </w:rPr>
      </w:pPr>
      <w:r w:rsidRPr="00B20B70">
        <w:rPr>
          <w:b/>
          <w:sz w:val="24"/>
          <w:szCs w:val="24"/>
        </w:rPr>
        <w:t>Results and Discussion</w:t>
      </w:r>
    </w:p>
    <w:p w14:paraId="23836159" w14:textId="4CCC48C6" w:rsidR="00667F63" w:rsidRPr="00B20B70" w:rsidRDefault="00667F63" w:rsidP="00D12638">
      <w:pPr>
        <w:pStyle w:val="BodyText"/>
        <w:ind w:firstLine="720"/>
        <w:jc w:val="both"/>
        <w:rPr>
          <w:color w:val="000000" w:themeColor="text1"/>
          <w:sz w:val="24"/>
          <w:szCs w:val="24"/>
          <w:lang w:val="en-US"/>
        </w:rPr>
      </w:pPr>
      <w:r w:rsidRPr="00B20B70">
        <w:rPr>
          <w:color w:val="000000" w:themeColor="text1"/>
          <w:sz w:val="24"/>
          <w:szCs w:val="24"/>
          <w:lang w:val="en-US"/>
        </w:rPr>
        <w:t xml:space="preserve">This research's results are </w:t>
      </w:r>
      <w:r w:rsidR="00D12638" w:rsidRPr="00B20B70">
        <w:rPr>
          <w:color w:val="000000" w:themeColor="text1"/>
          <w:sz w:val="24"/>
          <w:szCs w:val="24"/>
          <w:lang w:val="en-US"/>
        </w:rPr>
        <w:t xml:space="preserve">during the Covid-19 pandemic </w:t>
      </w:r>
      <w:r w:rsidRPr="00B20B70">
        <w:rPr>
          <w:color w:val="000000" w:themeColor="text1"/>
          <w:sz w:val="24"/>
          <w:szCs w:val="24"/>
          <w:lang w:val="en-US"/>
        </w:rPr>
        <w:t xml:space="preserve">the hoax mostly mentioned common people (165, 46%). While in the following position, there are action-related hoaxes (62, 17,3%). The gap between PEP and ACT could become an indication that Covid-19 rumors were directed to human-to-human infection. The rumors were elaborating mostly on suspected people contracting Covid-19 and the death toll from Covid-19. Simultaneously, the action-related rumors like social distancing, regional locking down, and rapid testing seemed to be the second priority. This phenomenon may relate to the continuum of emergency during a pandemic disaster. </w:t>
      </w:r>
      <w:r w:rsidR="005D00CC">
        <w:rPr>
          <w:color w:val="000000" w:themeColor="text1"/>
          <w:sz w:val="24"/>
          <w:szCs w:val="24"/>
          <w:lang w:val="en-US"/>
        </w:rPr>
        <w:t xml:space="preserve">And then in line with Stanley et al. </w:t>
      </w:r>
      <w:r w:rsidR="005D00CC">
        <w:rPr>
          <w:color w:val="000000" w:themeColor="text1"/>
          <w:sz w:val="24"/>
          <w:szCs w:val="24"/>
          <w:lang w:val="en-US"/>
        </w:rPr>
        <w:fldChar w:fldCharType="begin" w:fldLock="1"/>
      </w:r>
      <w:r w:rsidR="005D00CC">
        <w:rPr>
          <w:color w:val="000000" w:themeColor="text1"/>
          <w:sz w:val="24"/>
          <w:szCs w:val="24"/>
          <w:lang w:val="en-US"/>
        </w:rPr>
        <w:instrText>ADDIN CSL_CITATION { "citationItems" : [ { "id" : "ITEM-1", "itemData" : { "DOI" : "10.1080/13546783.2020.1813806", "ISSN" : "14640708", "abstract" : "The COVID-19 outbreak was labeled a global pandemic by the WHO in March of 2020. During that same month, the number of confirmed cases and the death rate grew exponentially in the United States, creating a serious public-health emergency. Unfortunately, many Americans dismissed the pandemic as a hoax and failed to properly engage in helpful behaviors like social-distancing and increased hand-washing. Here, we examine a disposition\u2014engagement in analytic-thinking\u2014that might predict beliefs that the pandemic is a hoax and failures to change behavior in positive ways during that critical early period in March. Our results indicate that individuals less likely to engage effortful, deliberative, and reflective cognitive processes were more likely to believe the pandemic was a hoax and less likely to have recently engaged in social-distancing and hand-washing in March. We discuss possible implications of these results for understanding and addressing the COVID-19 pandemic.", "author" : [ { "dropping-particle" : "", "family" : "Stanley", "given" : "Matthew L.", "non-dropping-particle" : "", "parse-names" : false, "suffix" : "" }, { "dropping-particle" : "", "family" : "Barr", "given" : "Nathaniel", "non-dropping-particle" : "", "parse-names" : false, "suffix" : "" }, { "dropping-particle" : "", "family" : "Peters", "given" : "Kelly", "non-dropping-particle" : "", "parse-names" : false, "suffix" : "" }, { "dropping-particle" : "", "family" : "Seli", "given" : "Paul", "non-dropping-particle" : "", "parse-names" : false, "suffix" : "" } ], "container-title" : "Thinking and Reasoning", "id" : "ITEM-1", "issue" : "0", "issued" : { "date-parts" : [ [ "2020" ] ] }, "page" : "1-14", "publisher" : "Routledge", "title" : "Analytic-thinking predicts hoax beliefs and helping behaviors in response to the COVID-19 pandemic", "type" : "article-journal", "volume" : "0" }, "uris" : [ "http://www.mendeley.com/documents/?uuid=8dd55695-82b6-486c-9318-612c070fc65a" ] } ], "mendeley" : { "formattedCitation" : "(Stanley, Barr, Peters, &amp; Seli, 2020)", "manualFormatting" : "(2020)", "plainTextFormattedCitation" : "(Stanley, Barr, Peters, &amp; Seli, 2020)", "previouslyFormattedCitation" : "(Stanley, Barr, Peters, &amp; Seli, 2020)" }, "properties" : { "noteIndex" : 6 }, "schema" : "https://github.com/citation-style-language/schema/raw/master/csl-citation.json" }</w:instrText>
      </w:r>
      <w:r w:rsidR="005D00CC">
        <w:rPr>
          <w:color w:val="000000" w:themeColor="text1"/>
          <w:sz w:val="24"/>
          <w:szCs w:val="24"/>
          <w:lang w:val="en-US"/>
        </w:rPr>
        <w:fldChar w:fldCharType="separate"/>
      </w:r>
      <w:r w:rsidR="005D00CC" w:rsidRPr="005D00CC">
        <w:rPr>
          <w:noProof/>
          <w:color w:val="000000" w:themeColor="text1"/>
          <w:sz w:val="24"/>
          <w:szCs w:val="24"/>
          <w:lang w:val="en-US"/>
        </w:rPr>
        <w:t>(2020)</w:t>
      </w:r>
      <w:r w:rsidR="005D00CC">
        <w:rPr>
          <w:color w:val="000000" w:themeColor="text1"/>
          <w:sz w:val="24"/>
          <w:szCs w:val="24"/>
          <w:lang w:val="en-US"/>
        </w:rPr>
        <w:fldChar w:fldCharType="end"/>
      </w:r>
      <w:r w:rsidR="005D00CC">
        <w:rPr>
          <w:color w:val="000000" w:themeColor="text1"/>
          <w:sz w:val="24"/>
          <w:szCs w:val="24"/>
          <w:lang w:val="en-US"/>
        </w:rPr>
        <w:t xml:space="preserve"> </w:t>
      </w:r>
      <w:r w:rsidRPr="00B20B70">
        <w:rPr>
          <w:color w:val="000000" w:themeColor="text1"/>
          <w:sz w:val="24"/>
          <w:szCs w:val="24"/>
          <w:lang w:val="en-US"/>
        </w:rPr>
        <w:t xml:space="preserve">Covid-19-related hoaxes distribution mentioning people was clearly on the alert phase. The alert phase refers to how people </w:t>
      </w:r>
      <w:r w:rsidRPr="00B20B70">
        <w:rPr>
          <w:color w:val="000000" w:themeColor="text1"/>
          <w:sz w:val="24"/>
          <w:szCs w:val="24"/>
          <w:lang w:val="en-US"/>
        </w:rPr>
        <w:lastRenderedPageBreak/>
        <w:t>and officials respond to the increase in pandemic cases</w:t>
      </w:r>
      <w:r w:rsidR="00D12638">
        <w:rPr>
          <w:color w:val="000000" w:themeColor="text1"/>
          <w:sz w:val="24"/>
          <w:szCs w:val="24"/>
          <w:lang w:val="en-US"/>
        </w:rPr>
        <w:t xml:space="preserve">. </w:t>
      </w:r>
      <w:r w:rsidRPr="00B20B70">
        <w:rPr>
          <w:color w:val="000000" w:themeColor="text1"/>
          <w:sz w:val="24"/>
          <w:szCs w:val="24"/>
          <w:lang w:val="en-US"/>
        </w:rPr>
        <w:t xml:space="preserve">Thus, during this phase, the Covid-19 hoaxes prevailed and were widely distributed. For, human to human infection is the truth during this phase. </w:t>
      </w:r>
      <w:r w:rsidR="00D12638">
        <w:rPr>
          <w:color w:val="000000" w:themeColor="text1"/>
          <w:sz w:val="24"/>
          <w:szCs w:val="24"/>
          <w:lang w:val="en-US"/>
        </w:rPr>
        <w:t>Society was</w:t>
      </w:r>
      <w:r w:rsidRPr="00B20B70">
        <w:rPr>
          <w:color w:val="000000" w:themeColor="text1"/>
          <w:sz w:val="24"/>
          <w:szCs w:val="24"/>
          <w:lang w:val="en-US"/>
        </w:rPr>
        <w:t xml:space="preserve"> afraid, but some hoax purveyors spread dread by circulating false human-to-human infection claims</w:t>
      </w:r>
      <w:r w:rsidR="00D12638">
        <w:rPr>
          <w:color w:val="000000" w:themeColor="text1"/>
          <w:sz w:val="24"/>
          <w:szCs w:val="24"/>
          <w:lang w:val="en-US"/>
        </w:rPr>
        <w:t xml:space="preserve"> through social media</w:t>
      </w:r>
      <w:r w:rsidR="00D12638">
        <w:rPr>
          <w:color w:val="000000" w:themeColor="text1"/>
          <w:sz w:val="24"/>
          <w:szCs w:val="24"/>
          <w:lang w:val="en-US"/>
        </w:rPr>
        <w:fldChar w:fldCharType="begin" w:fldLock="1"/>
      </w:r>
      <w:r w:rsidR="00D12638">
        <w:rPr>
          <w:color w:val="000000" w:themeColor="text1"/>
          <w:sz w:val="24"/>
          <w:szCs w:val="24"/>
          <w:lang w:val="en-US"/>
        </w:rPr>
        <w:instrText>ADDIN CSL_CITATION { "citationItems" : [ { "id" : "ITEM-1", "itemData" : { "abstract" : "Social media is one of the fields for spreading hoaxes or fake news. This study compared the spread patterns of hoax between Generation X and Generation Z. This study used McPrenski's Generation Theory and the concepts of DeFleur and Ball-Rokeach regarding social categories theory. A survey was conducted in Sleman Regency, Yogyakarta province, and the sample size was 240. The research was held before the Indonesia General Election2019 due to the high spread of political hoaxes. The hypothesis was tested using the T-test formula. The results showed that there were differences in hoax distribution patterns between both generations. Generation X looked more active in spreading hoax compared to Generation Z. This finding confirmed the Generation Theory and the terminology of digital immigrants and digital natives. The findings can be considered positive since Generation Z, which will be more active in the future, seemed less interested in hoaxes and tended to be more digitally literate. The digital literacy movement should consider the specificities of each target group because each group has different characteristics. Keywords:", "author" : [ { "dropping-particle" : "", "family" : "Susilo", "given" : "Muhammad Edy", "non-dropping-particle" : "", "parse-names" : false, "suffix" : "" }, { "dropping-particle" : "", "family" : "Yustitia", "given" : "Senja", "non-dropping-particle" : "", "parse-names" : false, "suffix" : "" }, { "dropping-particle" : "", "family" : "Afifi", "given" : "Subhan", "non-dropping-particle" : "", "parse-names" : false, "suffix" : "" } ], "id" : "ITEM-1", "issue" : "1", "issued" : { "date-parts" : [ [ "2020" ] ] }, "page" : "50-62", "title" : "Intergeneration Comparison of the Spread Pattern of Hoax: Perbandingan Pola Penyebaran Hoaks Antargenerasi", "type" : "article-journal", "volume" : "5" }, "uris" : [ "http://www.mendeley.com/documents/?uuid=c25625ea-e26b-4a71-88d2-d7e3ce6d46c9" ] } ], "mendeley" : { "formattedCitation" : "(Susilo, Yustitia, &amp; Afifi, 2020)", "plainTextFormattedCitation" : "(Susilo, Yustitia, &amp; Afifi, 2020)", "previouslyFormattedCitation" : "(Susilo, Yustitia, &amp; Afifi, 2020)" }, "properties" : { "noteIndex" : 7 }, "schema" : "https://github.com/citation-style-language/schema/raw/master/csl-citation.json" }</w:instrText>
      </w:r>
      <w:r w:rsidR="00D12638">
        <w:rPr>
          <w:color w:val="000000" w:themeColor="text1"/>
          <w:sz w:val="24"/>
          <w:szCs w:val="24"/>
          <w:lang w:val="en-US"/>
        </w:rPr>
        <w:fldChar w:fldCharType="separate"/>
      </w:r>
      <w:r w:rsidR="00D12638" w:rsidRPr="00D12638">
        <w:rPr>
          <w:noProof/>
          <w:color w:val="000000" w:themeColor="text1"/>
          <w:sz w:val="24"/>
          <w:szCs w:val="24"/>
          <w:lang w:val="en-US"/>
        </w:rPr>
        <w:t>(Susilo, Yustitia, &amp; Afifi, 2020)</w:t>
      </w:r>
      <w:r w:rsidR="00D12638">
        <w:rPr>
          <w:color w:val="000000" w:themeColor="text1"/>
          <w:sz w:val="24"/>
          <w:szCs w:val="24"/>
          <w:lang w:val="en-US"/>
        </w:rPr>
        <w:fldChar w:fldCharType="end"/>
      </w:r>
      <w:r w:rsidRPr="00B20B70">
        <w:rPr>
          <w:color w:val="000000" w:themeColor="text1"/>
          <w:sz w:val="24"/>
          <w:szCs w:val="24"/>
          <w:lang w:val="en-US"/>
        </w:rPr>
        <w:t xml:space="preserve">. </w:t>
      </w:r>
      <w:r w:rsidR="00D12638">
        <w:rPr>
          <w:color w:val="000000" w:themeColor="text1"/>
          <w:sz w:val="24"/>
          <w:szCs w:val="24"/>
          <w:lang w:val="en-US"/>
        </w:rPr>
        <w:t>On the other side, society</w:t>
      </w:r>
      <w:r w:rsidRPr="00B20B70">
        <w:rPr>
          <w:color w:val="000000" w:themeColor="text1"/>
          <w:sz w:val="24"/>
          <w:szCs w:val="24"/>
          <w:lang w:val="en-US"/>
        </w:rPr>
        <w:t xml:space="preserve"> fear for their life from the Covid-19 virus, peculiar phenomena (PHE) were also visible (57, 15,9%). In this analysis, abnormal, mythical, or even illogical phenomena examples were:</w:t>
      </w:r>
    </w:p>
    <w:p w14:paraId="36B0B795" w14:textId="347F9304" w:rsidR="00667F63" w:rsidRPr="00B20B70" w:rsidRDefault="00667F63" w:rsidP="00D12638">
      <w:pPr>
        <w:pStyle w:val="BodyText"/>
        <w:numPr>
          <w:ilvl w:val="0"/>
          <w:numId w:val="44"/>
        </w:numPr>
        <w:ind w:left="1077"/>
        <w:contextualSpacing/>
        <w:jc w:val="both"/>
        <w:rPr>
          <w:color w:val="000000" w:themeColor="text1"/>
          <w:sz w:val="24"/>
          <w:szCs w:val="24"/>
          <w:lang w:val="en-US"/>
        </w:rPr>
      </w:pPr>
      <w:r w:rsidRPr="00B20B70">
        <w:rPr>
          <w:color w:val="000000" w:themeColor="text1"/>
          <w:sz w:val="24"/>
          <w:szCs w:val="24"/>
          <w:lang w:val="en-US"/>
        </w:rPr>
        <w:t>A talking infant claiming egg could cure Covid-19 (348)</w:t>
      </w:r>
    </w:p>
    <w:p w14:paraId="497545E8" w14:textId="77777777" w:rsidR="00667F63" w:rsidRPr="00B20B70" w:rsidRDefault="00667F63" w:rsidP="00D12638">
      <w:pPr>
        <w:pStyle w:val="BodyText"/>
        <w:numPr>
          <w:ilvl w:val="0"/>
          <w:numId w:val="44"/>
        </w:numPr>
        <w:ind w:left="1077"/>
        <w:contextualSpacing/>
        <w:jc w:val="both"/>
        <w:rPr>
          <w:color w:val="000000" w:themeColor="text1"/>
          <w:sz w:val="24"/>
          <w:szCs w:val="24"/>
          <w:lang w:val="en-US"/>
        </w:rPr>
      </w:pPr>
      <w:r w:rsidRPr="00B20B70">
        <w:rPr>
          <w:color w:val="000000" w:themeColor="text1"/>
          <w:sz w:val="24"/>
          <w:szCs w:val="24"/>
          <w:lang w:val="en-US"/>
        </w:rPr>
        <w:t>Allegedly mass burial of Covid-19 victims (347)</w:t>
      </w:r>
    </w:p>
    <w:p w14:paraId="3004A4E1" w14:textId="77777777" w:rsidR="00667F63" w:rsidRPr="00B20B70" w:rsidRDefault="00667F63" w:rsidP="00D12638">
      <w:pPr>
        <w:pStyle w:val="BodyText"/>
        <w:numPr>
          <w:ilvl w:val="0"/>
          <w:numId w:val="44"/>
        </w:numPr>
        <w:ind w:left="1077"/>
        <w:contextualSpacing/>
        <w:jc w:val="both"/>
        <w:rPr>
          <w:color w:val="000000" w:themeColor="text1"/>
          <w:sz w:val="24"/>
          <w:szCs w:val="24"/>
          <w:lang w:val="en-US"/>
        </w:rPr>
      </w:pPr>
      <w:r w:rsidRPr="00B20B70">
        <w:rPr>
          <w:color w:val="000000" w:themeColor="text1"/>
          <w:sz w:val="24"/>
          <w:szCs w:val="24"/>
          <w:lang w:val="en-US"/>
        </w:rPr>
        <w:t>5G bandwidth was the cause of Covid-19 spread (260)</w:t>
      </w:r>
    </w:p>
    <w:p w14:paraId="22E00D05" w14:textId="77777777" w:rsidR="00667F63" w:rsidRPr="00B20B70" w:rsidRDefault="00667F63" w:rsidP="00D12638">
      <w:pPr>
        <w:pStyle w:val="BodyText"/>
        <w:numPr>
          <w:ilvl w:val="0"/>
          <w:numId w:val="44"/>
        </w:numPr>
        <w:ind w:left="1077"/>
        <w:contextualSpacing/>
        <w:jc w:val="both"/>
        <w:rPr>
          <w:color w:val="000000" w:themeColor="text1"/>
          <w:sz w:val="24"/>
          <w:szCs w:val="24"/>
          <w:lang w:val="en-US"/>
        </w:rPr>
      </w:pPr>
      <w:r w:rsidRPr="00B20B70">
        <w:rPr>
          <w:color w:val="000000" w:themeColor="text1"/>
          <w:sz w:val="24"/>
          <w:szCs w:val="24"/>
          <w:lang w:val="en-US"/>
        </w:rPr>
        <w:t>Coronavirus was found on toilet tissue (206)</w:t>
      </w:r>
    </w:p>
    <w:p w14:paraId="08F55FBC" w14:textId="0002D228" w:rsidR="00667F63" w:rsidRPr="00D12638" w:rsidRDefault="00667F63" w:rsidP="00D12638">
      <w:pPr>
        <w:pStyle w:val="BodyText"/>
        <w:numPr>
          <w:ilvl w:val="0"/>
          <w:numId w:val="44"/>
        </w:numPr>
        <w:ind w:left="1077"/>
        <w:contextualSpacing/>
        <w:jc w:val="both"/>
        <w:rPr>
          <w:color w:val="000000" w:themeColor="text1"/>
          <w:sz w:val="24"/>
          <w:szCs w:val="24"/>
          <w:lang w:val="en-US"/>
        </w:rPr>
      </w:pPr>
      <w:r w:rsidRPr="00B20B70">
        <w:rPr>
          <w:color w:val="000000" w:themeColor="text1"/>
          <w:sz w:val="24"/>
          <w:szCs w:val="24"/>
          <w:lang w:val="en-US"/>
        </w:rPr>
        <w:t>Some Chinese citizen converted to Islam as they were cured of Covid-19 (127)</w:t>
      </w:r>
    </w:p>
    <w:p w14:paraId="06704997" w14:textId="08D71C28" w:rsidR="00667F63" w:rsidRPr="00B20B70" w:rsidRDefault="00667F63" w:rsidP="00B20B70">
      <w:pPr>
        <w:pStyle w:val="BodyText"/>
        <w:jc w:val="both"/>
        <w:rPr>
          <w:color w:val="000000" w:themeColor="text1"/>
          <w:sz w:val="24"/>
          <w:szCs w:val="24"/>
          <w:lang w:val="en-US"/>
        </w:rPr>
      </w:pPr>
      <w:r w:rsidRPr="00B20B70">
        <w:rPr>
          <w:color w:val="000000" w:themeColor="text1"/>
          <w:sz w:val="24"/>
          <w:szCs w:val="24"/>
          <w:lang w:val="en-US"/>
        </w:rPr>
        <w:t xml:space="preserve">These irrational messages circulating during the pandemic are no strange phenomena, this referring to what </w:t>
      </w:r>
      <w:r w:rsidR="00D12638">
        <w:rPr>
          <w:color w:val="000000" w:themeColor="text1"/>
          <w:sz w:val="24"/>
          <w:szCs w:val="24"/>
          <w:lang w:val="en-US"/>
        </w:rPr>
        <w:t xml:space="preserve">Ali </w:t>
      </w:r>
      <w:r w:rsidR="00D12638">
        <w:rPr>
          <w:color w:val="000000" w:themeColor="text1"/>
          <w:sz w:val="24"/>
          <w:szCs w:val="24"/>
          <w:lang w:val="en-US"/>
        </w:rPr>
        <w:fldChar w:fldCharType="begin" w:fldLock="1"/>
      </w:r>
      <w:r w:rsidR="00D12638">
        <w:rPr>
          <w:color w:val="000000" w:themeColor="text1"/>
          <w:sz w:val="24"/>
          <w:szCs w:val="24"/>
          <w:lang w:val="en-US"/>
        </w:rPr>
        <w:instrText>ADDIN CSL_CITATION { "citationItems" : [ { "id" : "ITEM-1", "itemData" : { "DOI" : "10.1080/01459740.2020.1745481", "ISSN" : "15455882", "PMID" : "32212931", "author" : [ { "dropping-particle" : "", "family" : "Ali", "given" : "Inayat", "non-dropping-particle" : "", "parse-names" : false, "suffix" : "" } ], "container-title" : "Medical Anthropology: Cross Cultural Studies in Health and Illness", "id" : "ITEM-1", "issue" : "5", "issued" : { "date-parts" : [ [ "2020", "7", "3" ] ] }, "page" : "376-379", "publisher" : "Taylor and Francis Inc.", "title" : "The COVID-19 Pandemic: Making Sense of Rumor and Fear: Op-Ed", "type" : "article-journal", "volume" : "39" }, "uris" : [ "http://www.mendeley.com/documents/?uuid=2af73091-ded8-33d0-85d0-315d19e7c3c4" ] } ], "mendeley" : { "formattedCitation" : "(Ali, 2020)", "manualFormatting" : "(2020)", "plainTextFormattedCitation" : "(Ali, 2020)", "previouslyFormattedCitation" : "(Ali, 2020)" }, "properties" : { "noteIndex" : 7 }, "schema" : "https://github.com/citation-style-language/schema/raw/master/csl-citation.json" }</w:instrText>
      </w:r>
      <w:r w:rsidR="00D12638">
        <w:rPr>
          <w:color w:val="000000" w:themeColor="text1"/>
          <w:sz w:val="24"/>
          <w:szCs w:val="24"/>
          <w:lang w:val="en-US"/>
        </w:rPr>
        <w:fldChar w:fldCharType="separate"/>
      </w:r>
      <w:r w:rsidR="00D12638" w:rsidRPr="00D12638">
        <w:rPr>
          <w:noProof/>
          <w:color w:val="000000" w:themeColor="text1"/>
          <w:sz w:val="24"/>
          <w:szCs w:val="24"/>
          <w:lang w:val="en-US"/>
        </w:rPr>
        <w:t>(2020)</w:t>
      </w:r>
      <w:r w:rsidR="00D12638">
        <w:rPr>
          <w:color w:val="000000" w:themeColor="text1"/>
          <w:sz w:val="24"/>
          <w:szCs w:val="24"/>
          <w:lang w:val="en-US"/>
        </w:rPr>
        <w:fldChar w:fldCharType="end"/>
      </w:r>
      <w:r w:rsidRPr="00B20B70">
        <w:rPr>
          <w:color w:val="000000" w:themeColor="text1"/>
          <w:sz w:val="24"/>
          <w:szCs w:val="24"/>
          <w:lang w:val="en-US"/>
        </w:rPr>
        <w:t xml:space="preserve"> call rationalizing rumors. During the pandemic, people's minds were positively charged and burdened with fear and worry. Irrational </w:t>
      </w:r>
      <w:r w:rsidR="00031383">
        <w:rPr>
          <w:color w:val="000000" w:themeColor="text1"/>
          <w:sz w:val="24"/>
          <w:szCs w:val="24"/>
          <w:lang w:val="en-US"/>
        </w:rPr>
        <w:t>rumors</w:t>
      </w:r>
      <w:r w:rsidRPr="00B20B70">
        <w:rPr>
          <w:color w:val="000000" w:themeColor="text1"/>
          <w:sz w:val="24"/>
          <w:szCs w:val="24"/>
          <w:lang w:val="en-US"/>
        </w:rPr>
        <w:t xml:space="preserve"> were not there to be analyzed. Instead, these false claims become rationalization, even fascination for some people. Although indirectly related, hoaxes mentioning medicine (MED) had undergone rationalization (34, 9.5%). Some of the medicine hoaxes were rationalized as alternative cures. Data can be seen in table 2.</w:t>
      </w:r>
    </w:p>
    <w:p w14:paraId="2EFB6886" w14:textId="767AD7F1" w:rsidR="00667F63" w:rsidRPr="00B20B70" w:rsidRDefault="00667F63" w:rsidP="00B20B70">
      <w:pPr>
        <w:pStyle w:val="BodyText"/>
        <w:jc w:val="both"/>
        <w:rPr>
          <w:color w:val="000000" w:themeColor="text1"/>
          <w:sz w:val="24"/>
          <w:szCs w:val="24"/>
        </w:rPr>
      </w:pPr>
      <w:r w:rsidRPr="00B20B70">
        <w:rPr>
          <w:color w:val="000000" w:themeColor="text1"/>
          <w:sz w:val="24"/>
          <w:szCs w:val="24"/>
          <w:lang w:val="en-US"/>
        </w:rPr>
        <w:t xml:space="preserve">In comparison, table 3 shows the number of Covid-19 hoaxes related to the subject of sentences, speeches, and even pictures, which are high (157, 52%). More than half of the Covid-19 hoaxes were aimed at the general public than figures (58, 16.2%). They know their lives are also at stake during the pandemic. Society may share the belief in saving themselves during the alert phase rather than caring and focusing on figures, such as the President, artists, </w:t>
      </w:r>
      <w:r w:rsidR="005D00CC">
        <w:rPr>
          <w:color w:val="000000" w:themeColor="text1"/>
          <w:sz w:val="24"/>
          <w:szCs w:val="24"/>
          <w:lang w:val="en-US"/>
        </w:rPr>
        <w:t>and</w:t>
      </w:r>
      <w:r w:rsidRPr="00B20B70">
        <w:rPr>
          <w:color w:val="000000" w:themeColor="text1"/>
          <w:sz w:val="24"/>
          <w:szCs w:val="24"/>
          <w:lang w:val="en-US"/>
        </w:rPr>
        <w:t xml:space="preserve"> religious figures.</w:t>
      </w:r>
    </w:p>
    <w:p w14:paraId="47053AC4" w14:textId="46F8D363" w:rsidR="00667F63" w:rsidRPr="00B20B70" w:rsidRDefault="00667F63" w:rsidP="00B20B70">
      <w:pPr>
        <w:pStyle w:val="BodyText"/>
        <w:jc w:val="both"/>
        <w:rPr>
          <w:color w:val="000000" w:themeColor="text1"/>
          <w:sz w:val="24"/>
          <w:szCs w:val="24"/>
          <w:lang w:val="en-US"/>
        </w:rPr>
      </w:pPr>
    </w:p>
    <w:p w14:paraId="182094E0" w14:textId="352CCBCA" w:rsidR="00902209" w:rsidRPr="00B20B70" w:rsidRDefault="00902209" w:rsidP="00B20B70">
      <w:pPr>
        <w:pStyle w:val="BodyText"/>
        <w:jc w:val="center"/>
        <w:rPr>
          <w:color w:val="000000" w:themeColor="text1"/>
          <w:sz w:val="24"/>
          <w:szCs w:val="24"/>
          <w:lang w:val="en-US"/>
        </w:rPr>
      </w:pPr>
      <w:r w:rsidRPr="00B20B70">
        <w:rPr>
          <w:color w:val="000000" w:themeColor="text1"/>
          <w:sz w:val="24"/>
          <w:szCs w:val="24"/>
        </w:rPr>
        <w:t>Table 2. Numbers of Disinformation Based on What Category</w:t>
      </w:r>
      <w:r w:rsidR="00172A50" w:rsidRPr="00B20B70">
        <w:rPr>
          <w:color w:val="000000" w:themeColor="text1"/>
          <w:sz w:val="24"/>
          <w:szCs w:val="24"/>
          <w:lang w:val="en-US"/>
        </w:rPr>
        <w:t xml:space="preserve"> (Source: </w:t>
      </w:r>
      <w:r w:rsidR="005D00CC">
        <w:rPr>
          <w:color w:val="000000" w:themeColor="text1"/>
          <w:sz w:val="24"/>
          <w:szCs w:val="24"/>
          <w:lang w:val="en-US"/>
        </w:rPr>
        <w:t>Research Document</w:t>
      </w:r>
      <w:r w:rsidR="00172A50" w:rsidRPr="00B20B70">
        <w:rPr>
          <w:color w:val="000000" w:themeColor="text1"/>
          <w:sz w:val="24"/>
          <w:szCs w:val="24"/>
          <w:lang w:val="en-US"/>
        </w:rPr>
        <w:t xml:space="preserve"> (2020))</w:t>
      </w:r>
    </w:p>
    <w:tbl>
      <w:tblPr>
        <w:tblW w:w="2698" w:type="pct"/>
        <w:tblInd w:w="1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655"/>
        <w:gridCol w:w="1792"/>
        <w:gridCol w:w="1320"/>
        <w:gridCol w:w="932"/>
      </w:tblGrid>
      <w:tr w:rsidR="00902209" w:rsidRPr="00B20B70" w14:paraId="5A0DC1C7" w14:textId="77777777" w:rsidTr="00667F63">
        <w:trPr>
          <w:trHeight w:val="420"/>
        </w:trPr>
        <w:tc>
          <w:tcPr>
            <w:tcW w:w="696" w:type="pct"/>
            <w:shd w:val="clear" w:color="auto" w:fill="auto"/>
            <w:tcMar>
              <w:top w:w="100" w:type="dxa"/>
              <w:left w:w="100" w:type="dxa"/>
              <w:bottom w:w="100" w:type="dxa"/>
              <w:right w:w="100" w:type="dxa"/>
            </w:tcMar>
          </w:tcPr>
          <w:p w14:paraId="34FC1D62" w14:textId="77777777" w:rsidR="00902209" w:rsidRPr="00B20B70" w:rsidRDefault="00902209" w:rsidP="00B20B70">
            <w:pPr>
              <w:pBdr>
                <w:top w:val="nil"/>
                <w:left w:val="nil"/>
                <w:bottom w:val="nil"/>
                <w:right w:val="nil"/>
                <w:between w:val="nil"/>
              </w:pBdr>
              <w:jc w:val="both"/>
              <w:rPr>
                <w:b/>
                <w:color w:val="000000" w:themeColor="text1"/>
                <w:sz w:val="24"/>
                <w:szCs w:val="24"/>
              </w:rPr>
            </w:pPr>
            <w:r w:rsidRPr="00B20B70">
              <w:rPr>
                <w:b/>
                <w:color w:val="000000" w:themeColor="text1"/>
                <w:sz w:val="24"/>
                <w:szCs w:val="24"/>
              </w:rPr>
              <w:t>No.</w:t>
            </w:r>
          </w:p>
        </w:tc>
        <w:tc>
          <w:tcPr>
            <w:tcW w:w="1907" w:type="pct"/>
            <w:shd w:val="clear" w:color="auto" w:fill="auto"/>
            <w:tcMar>
              <w:top w:w="100" w:type="dxa"/>
              <w:left w:w="100" w:type="dxa"/>
              <w:bottom w:w="100" w:type="dxa"/>
              <w:right w:w="100" w:type="dxa"/>
            </w:tcMar>
          </w:tcPr>
          <w:p w14:paraId="4700016F" w14:textId="77777777" w:rsidR="00902209" w:rsidRPr="00B20B70" w:rsidRDefault="00902209" w:rsidP="00B20B70">
            <w:pPr>
              <w:pBdr>
                <w:top w:val="nil"/>
                <w:left w:val="nil"/>
                <w:bottom w:val="nil"/>
                <w:right w:val="nil"/>
                <w:between w:val="nil"/>
              </w:pBdr>
              <w:jc w:val="both"/>
              <w:rPr>
                <w:b/>
                <w:color w:val="000000" w:themeColor="text1"/>
                <w:sz w:val="24"/>
                <w:szCs w:val="24"/>
              </w:rPr>
            </w:pPr>
            <w:r w:rsidRPr="00B20B70">
              <w:rPr>
                <w:b/>
                <w:color w:val="000000" w:themeColor="text1"/>
                <w:sz w:val="24"/>
                <w:szCs w:val="24"/>
              </w:rPr>
              <w:t>Code</w:t>
            </w:r>
          </w:p>
        </w:tc>
        <w:tc>
          <w:tcPr>
            <w:tcW w:w="1405" w:type="pct"/>
            <w:shd w:val="clear" w:color="auto" w:fill="auto"/>
            <w:tcMar>
              <w:top w:w="100" w:type="dxa"/>
              <w:left w:w="100" w:type="dxa"/>
              <w:bottom w:w="100" w:type="dxa"/>
              <w:right w:w="100" w:type="dxa"/>
            </w:tcMar>
          </w:tcPr>
          <w:p w14:paraId="6643C814" w14:textId="77777777" w:rsidR="00902209" w:rsidRPr="00B20B70" w:rsidRDefault="00902209" w:rsidP="00B20B70">
            <w:pPr>
              <w:pBdr>
                <w:top w:val="nil"/>
                <w:left w:val="nil"/>
                <w:bottom w:val="nil"/>
                <w:right w:val="nil"/>
                <w:between w:val="nil"/>
              </w:pBdr>
              <w:jc w:val="both"/>
              <w:rPr>
                <w:b/>
                <w:color w:val="000000" w:themeColor="text1"/>
                <w:sz w:val="24"/>
                <w:szCs w:val="24"/>
              </w:rPr>
            </w:pPr>
            <w:r w:rsidRPr="00B20B70">
              <w:rPr>
                <w:b/>
                <w:color w:val="000000" w:themeColor="text1"/>
                <w:sz w:val="24"/>
                <w:szCs w:val="24"/>
              </w:rPr>
              <w:t>Σn</w:t>
            </w:r>
          </w:p>
        </w:tc>
        <w:tc>
          <w:tcPr>
            <w:tcW w:w="993" w:type="pct"/>
            <w:shd w:val="clear" w:color="auto" w:fill="auto"/>
            <w:tcMar>
              <w:top w:w="100" w:type="dxa"/>
              <w:left w:w="100" w:type="dxa"/>
              <w:bottom w:w="100" w:type="dxa"/>
              <w:right w:w="100" w:type="dxa"/>
            </w:tcMar>
          </w:tcPr>
          <w:p w14:paraId="515F8F6A" w14:textId="77777777" w:rsidR="00902209" w:rsidRPr="00B20B70" w:rsidRDefault="00902209" w:rsidP="00B20B70">
            <w:pPr>
              <w:pBdr>
                <w:top w:val="nil"/>
                <w:left w:val="nil"/>
                <w:bottom w:val="nil"/>
                <w:right w:val="nil"/>
                <w:between w:val="nil"/>
              </w:pBdr>
              <w:jc w:val="both"/>
              <w:rPr>
                <w:b/>
                <w:color w:val="000000" w:themeColor="text1"/>
                <w:sz w:val="24"/>
                <w:szCs w:val="24"/>
              </w:rPr>
            </w:pPr>
            <w:r w:rsidRPr="00B20B70">
              <w:rPr>
                <w:b/>
                <w:color w:val="000000" w:themeColor="text1"/>
                <w:sz w:val="24"/>
                <w:szCs w:val="24"/>
              </w:rPr>
              <w:t>%</w:t>
            </w:r>
          </w:p>
        </w:tc>
      </w:tr>
      <w:tr w:rsidR="00902209" w:rsidRPr="00B20B70" w14:paraId="228EF163" w14:textId="77777777" w:rsidTr="00667F63">
        <w:trPr>
          <w:trHeight w:val="111"/>
        </w:trPr>
        <w:tc>
          <w:tcPr>
            <w:tcW w:w="696" w:type="pct"/>
            <w:shd w:val="clear" w:color="auto" w:fill="auto"/>
            <w:tcMar>
              <w:top w:w="100" w:type="dxa"/>
              <w:left w:w="100" w:type="dxa"/>
              <w:bottom w:w="100" w:type="dxa"/>
              <w:right w:w="100" w:type="dxa"/>
            </w:tcMar>
          </w:tcPr>
          <w:p w14:paraId="5CCFDB30" w14:textId="77777777" w:rsidR="00902209" w:rsidRPr="00B20B70" w:rsidRDefault="00902209" w:rsidP="00B20B70">
            <w:pPr>
              <w:widowControl w:val="0"/>
              <w:numPr>
                <w:ilvl w:val="0"/>
                <w:numId w:val="27"/>
              </w:numPr>
              <w:pBdr>
                <w:top w:val="nil"/>
                <w:left w:val="nil"/>
                <w:bottom w:val="nil"/>
                <w:right w:val="nil"/>
                <w:between w:val="nil"/>
              </w:pBdr>
              <w:ind w:left="405" w:right="-15" w:hanging="315"/>
              <w:jc w:val="both"/>
              <w:rPr>
                <w:color w:val="000000" w:themeColor="text1"/>
                <w:sz w:val="24"/>
                <w:szCs w:val="24"/>
              </w:rPr>
            </w:pPr>
          </w:p>
        </w:tc>
        <w:tc>
          <w:tcPr>
            <w:tcW w:w="1907" w:type="pct"/>
            <w:shd w:val="clear" w:color="auto" w:fill="auto"/>
            <w:tcMar>
              <w:top w:w="100" w:type="dxa"/>
              <w:left w:w="100" w:type="dxa"/>
              <w:bottom w:w="100" w:type="dxa"/>
              <w:right w:w="100" w:type="dxa"/>
            </w:tcMar>
          </w:tcPr>
          <w:p w14:paraId="2D18AFDB"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People (PEP)</w:t>
            </w:r>
          </w:p>
        </w:tc>
        <w:tc>
          <w:tcPr>
            <w:tcW w:w="1405" w:type="pct"/>
            <w:shd w:val="clear" w:color="auto" w:fill="auto"/>
            <w:tcMar>
              <w:top w:w="100" w:type="dxa"/>
              <w:left w:w="100" w:type="dxa"/>
              <w:bottom w:w="100" w:type="dxa"/>
              <w:right w:w="100" w:type="dxa"/>
            </w:tcMar>
          </w:tcPr>
          <w:p w14:paraId="271F4239"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165</w:t>
            </w:r>
          </w:p>
        </w:tc>
        <w:tc>
          <w:tcPr>
            <w:tcW w:w="993" w:type="pct"/>
            <w:shd w:val="clear" w:color="auto" w:fill="auto"/>
            <w:tcMar>
              <w:top w:w="100" w:type="dxa"/>
              <w:left w:w="100" w:type="dxa"/>
              <w:bottom w:w="100" w:type="dxa"/>
              <w:right w:w="100" w:type="dxa"/>
            </w:tcMar>
          </w:tcPr>
          <w:p w14:paraId="753C3A21"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46</w:t>
            </w:r>
          </w:p>
        </w:tc>
      </w:tr>
      <w:tr w:rsidR="00902209" w:rsidRPr="00B20B70" w14:paraId="30E138DA" w14:textId="77777777" w:rsidTr="00667F63">
        <w:trPr>
          <w:trHeight w:val="217"/>
        </w:trPr>
        <w:tc>
          <w:tcPr>
            <w:tcW w:w="696" w:type="pct"/>
            <w:shd w:val="clear" w:color="auto" w:fill="auto"/>
            <w:tcMar>
              <w:top w:w="100" w:type="dxa"/>
              <w:left w:w="100" w:type="dxa"/>
              <w:bottom w:w="100" w:type="dxa"/>
              <w:right w:w="100" w:type="dxa"/>
            </w:tcMar>
          </w:tcPr>
          <w:p w14:paraId="60CF1DEF" w14:textId="77777777" w:rsidR="00902209" w:rsidRPr="00B20B70" w:rsidRDefault="00902209" w:rsidP="00B20B70">
            <w:pPr>
              <w:widowControl w:val="0"/>
              <w:numPr>
                <w:ilvl w:val="0"/>
                <w:numId w:val="27"/>
              </w:numPr>
              <w:pBdr>
                <w:top w:val="nil"/>
                <w:left w:val="nil"/>
                <w:bottom w:val="nil"/>
                <w:right w:val="nil"/>
                <w:between w:val="nil"/>
              </w:pBdr>
              <w:ind w:left="405" w:right="-15" w:hanging="315"/>
              <w:jc w:val="both"/>
              <w:rPr>
                <w:color w:val="000000" w:themeColor="text1"/>
                <w:sz w:val="24"/>
                <w:szCs w:val="24"/>
              </w:rPr>
            </w:pPr>
          </w:p>
        </w:tc>
        <w:tc>
          <w:tcPr>
            <w:tcW w:w="1907" w:type="pct"/>
            <w:shd w:val="clear" w:color="auto" w:fill="auto"/>
            <w:tcMar>
              <w:top w:w="100" w:type="dxa"/>
              <w:left w:w="100" w:type="dxa"/>
              <w:bottom w:w="100" w:type="dxa"/>
              <w:right w:w="100" w:type="dxa"/>
            </w:tcMar>
          </w:tcPr>
          <w:p w14:paraId="04BC31CB"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Action (ACT</w:t>
            </w:r>
          </w:p>
        </w:tc>
        <w:tc>
          <w:tcPr>
            <w:tcW w:w="1405" w:type="pct"/>
            <w:shd w:val="clear" w:color="auto" w:fill="auto"/>
            <w:tcMar>
              <w:top w:w="100" w:type="dxa"/>
              <w:left w:w="100" w:type="dxa"/>
              <w:bottom w:w="100" w:type="dxa"/>
              <w:right w:w="100" w:type="dxa"/>
            </w:tcMar>
          </w:tcPr>
          <w:p w14:paraId="42CEF5AA"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62</w:t>
            </w:r>
          </w:p>
        </w:tc>
        <w:tc>
          <w:tcPr>
            <w:tcW w:w="993" w:type="pct"/>
            <w:shd w:val="clear" w:color="auto" w:fill="auto"/>
            <w:tcMar>
              <w:top w:w="100" w:type="dxa"/>
              <w:left w:w="100" w:type="dxa"/>
              <w:bottom w:w="100" w:type="dxa"/>
              <w:right w:w="100" w:type="dxa"/>
            </w:tcMar>
          </w:tcPr>
          <w:p w14:paraId="18B34816"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17.3</w:t>
            </w:r>
          </w:p>
        </w:tc>
      </w:tr>
      <w:tr w:rsidR="00902209" w:rsidRPr="00B20B70" w14:paraId="5F064164" w14:textId="77777777" w:rsidTr="00667F63">
        <w:trPr>
          <w:trHeight w:val="195"/>
        </w:trPr>
        <w:tc>
          <w:tcPr>
            <w:tcW w:w="696" w:type="pct"/>
            <w:shd w:val="clear" w:color="auto" w:fill="auto"/>
            <w:tcMar>
              <w:top w:w="100" w:type="dxa"/>
              <w:left w:w="100" w:type="dxa"/>
              <w:bottom w:w="100" w:type="dxa"/>
              <w:right w:w="100" w:type="dxa"/>
            </w:tcMar>
          </w:tcPr>
          <w:p w14:paraId="4B4EDA43" w14:textId="77777777" w:rsidR="00902209" w:rsidRPr="00B20B70" w:rsidRDefault="00902209" w:rsidP="00B20B70">
            <w:pPr>
              <w:widowControl w:val="0"/>
              <w:numPr>
                <w:ilvl w:val="0"/>
                <w:numId w:val="27"/>
              </w:numPr>
              <w:pBdr>
                <w:top w:val="nil"/>
                <w:left w:val="nil"/>
                <w:bottom w:val="nil"/>
                <w:right w:val="nil"/>
                <w:between w:val="nil"/>
              </w:pBdr>
              <w:ind w:left="405" w:right="-15" w:hanging="315"/>
              <w:jc w:val="both"/>
              <w:rPr>
                <w:color w:val="000000" w:themeColor="text1"/>
                <w:sz w:val="24"/>
                <w:szCs w:val="24"/>
              </w:rPr>
            </w:pPr>
          </w:p>
        </w:tc>
        <w:tc>
          <w:tcPr>
            <w:tcW w:w="1907" w:type="pct"/>
            <w:shd w:val="clear" w:color="auto" w:fill="auto"/>
            <w:tcMar>
              <w:top w:w="100" w:type="dxa"/>
              <w:left w:w="100" w:type="dxa"/>
              <w:bottom w:w="100" w:type="dxa"/>
              <w:right w:w="100" w:type="dxa"/>
            </w:tcMar>
          </w:tcPr>
          <w:p w14:paraId="2B1818BA" w14:textId="171812B8" w:rsidR="00902209" w:rsidRPr="00B20B70" w:rsidRDefault="00902209" w:rsidP="00B20B70">
            <w:pPr>
              <w:jc w:val="both"/>
              <w:rPr>
                <w:color w:val="000000" w:themeColor="text1"/>
                <w:sz w:val="24"/>
                <w:szCs w:val="24"/>
              </w:rPr>
            </w:pPr>
            <w:r w:rsidRPr="00B20B70">
              <w:rPr>
                <w:color w:val="000000" w:themeColor="text1"/>
                <w:sz w:val="24"/>
                <w:szCs w:val="24"/>
              </w:rPr>
              <w:t>Phenomena (PHE)</w:t>
            </w:r>
          </w:p>
        </w:tc>
        <w:tc>
          <w:tcPr>
            <w:tcW w:w="1405" w:type="pct"/>
            <w:shd w:val="clear" w:color="auto" w:fill="auto"/>
            <w:tcMar>
              <w:top w:w="100" w:type="dxa"/>
              <w:left w:w="100" w:type="dxa"/>
              <w:bottom w:w="100" w:type="dxa"/>
              <w:right w:w="100" w:type="dxa"/>
            </w:tcMar>
          </w:tcPr>
          <w:p w14:paraId="56796FFC"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57</w:t>
            </w:r>
          </w:p>
        </w:tc>
        <w:tc>
          <w:tcPr>
            <w:tcW w:w="993" w:type="pct"/>
            <w:shd w:val="clear" w:color="auto" w:fill="auto"/>
            <w:tcMar>
              <w:top w:w="100" w:type="dxa"/>
              <w:left w:w="100" w:type="dxa"/>
              <w:bottom w:w="100" w:type="dxa"/>
              <w:right w:w="100" w:type="dxa"/>
            </w:tcMar>
          </w:tcPr>
          <w:p w14:paraId="0BC9FD47"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15.9</w:t>
            </w:r>
          </w:p>
        </w:tc>
      </w:tr>
      <w:tr w:rsidR="00902209" w:rsidRPr="00B20B70" w14:paraId="5F3C0CA1" w14:textId="77777777" w:rsidTr="00667F63">
        <w:trPr>
          <w:trHeight w:val="32"/>
        </w:trPr>
        <w:tc>
          <w:tcPr>
            <w:tcW w:w="696" w:type="pct"/>
            <w:shd w:val="clear" w:color="auto" w:fill="auto"/>
            <w:tcMar>
              <w:top w:w="100" w:type="dxa"/>
              <w:left w:w="100" w:type="dxa"/>
              <w:bottom w:w="100" w:type="dxa"/>
              <w:right w:w="100" w:type="dxa"/>
            </w:tcMar>
          </w:tcPr>
          <w:p w14:paraId="0E0786CD" w14:textId="77777777" w:rsidR="00902209" w:rsidRPr="00B20B70" w:rsidRDefault="00902209" w:rsidP="00B20B70">
            <w:pPr>
              <w:widowControl w:val="0"/>
              <w:numPr>
                <w:ilvl w:val="0"/>
                <w:numId w:val="27"/>
              </w:numPr>
              <w:pBdr>
                <w:top w:val="nil"/>
                <w:left w:val="nil"/>
                <w:bottom w:val="nil"/>
                <w:right w:val="nil"/>
                <w:between w:val="nil"/>
              </w:pBdr>
              <w:ind w:left="405" w:right="-15" w:hanging="315"/>
              <w:jc w:val="both"/>
              <w:rPr>
                <w:color w:val="000000" w:themeColor="text1"/>
                <w:sz w:val="24"/>
                <w:szCs w:val="24"/>
              </w:rPr>
            </w:pPr>
          </w:p>
        </w:tc>
        <w:tc>
          <w:tcPr>
            <w:tcW w:w="1907" w:type="pct"/>
            <w:shd w:val="clear" w:color="auto" w:fill="auto"/>
            <w:tcMar>
              <w:top w:w="100" w:type="dxa"/>
              <w:left w:w="100" w:type="dxa"/>
              <w:bottom w:w="100" w:type="dxa"/>
              <w:right w:w="100" w:type="dxa"/>
            </w:tcMar>
          </w:tcPr>
          <w:p w14:paraId="51CB2869"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Place (PLA)</w:t>
            </w:r>
          </w:p>
        </w:tc>
        <w:tc>
          <w:tcPr>
            <w:tcW w:w="1405" w:type="pct"/>
            <w:shd w:val="clear" w:color="auto" w:fill="auto"/>
            <w:tcMar>
              <w:top w:w="100" w:type="dxa"/>
              <w:left w:w="100" w:type="dxa"/>
              <w:bottom w:w="100" w:type="dxa"/>
              <w:right w:w="100" w:type="dxa"/>
            </w:tcMar>
          </w:tcPr>
          <w:p w14:paraId="79DA17FC"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41</w:t>
            </w:r>
          </w:p>
        </w:tc>
        <w:tc>
          <w:tcPr>
            <w:tcW w:w="993" w:type="pct"/>
            <w:shd w:val="clear" w:color="auto" w:fill="auto"/>
            <w:tcMar>
              <w:top w:w="100" w:type="dxa"/>
              <w:left w:w="100" w:type="dxa"/>
              <w:bottom w:w="100" w:type="dxa"/>
              <w:right w:w="100" w:type="dxa"/>
            </w:tcMar>
          </w:tcPr>
          <w:p w14:paraId="3ED72891"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11.4</w:t>
            </w:r>
          </w:p>
        </w:tc>
      </w:tr>
      <w:tr w:rsidR="00902209" w:rsidRPr="00B20B70" w14:paraId="1DFBE30B" w14:textId="77777777" w:rsidTr="00667F63">
        <w:trPr>
          <w:trHeight w:val="138"/>
        </w:trPr>
        <w:tc>
          <w:tcPr>
            <w:tcW w:w="696" w:type="pct"/>
            <w:shd w:val="clear" w:color="auto" w:fill="auto"/>
            <w:tcMar>
              <w:top w:w="100" w:type="dxa"/>
              <w:left w:w="100" w:type="dxa"/>
              <w:bottom w:w="100" w:type="dxa"/>
              <w:right w:w="100" w:type="dxa"/>
            </w:tcMar>
          </w:tcPr>
          <w:p w14:paraId="1DBD610B" w14:textId="77777777" w:rsidR="00902209" w:rsidRPr="00B20B70" w:rsidRDefault="00902209" w:rsidP="00B20B70">
            <w:pPr>
              <w:widowControl w:val="0"/>
              <w:numPr>
                <w:ilvl w:val="0"/>
                <w:numId w:val="27"/>
              </w:numPr>
              <w:pBdr>
                <w:top w:val="nil"/>
                <w:left w:val="nil"/>
                <w:bottom w:val="nil"/>
                <w:right w:val="nil"/>
                <w:between w:val="nil"/>
              </w:pBdr>
              <w:ind w:left="405" w:right="-15" w:hanging="315"/>
              <w:jc w:val="both"/>
              <w:rPr>
                <w:color w:val="000000" w:themeColor="text1"/>
                <w:sz w:val="24"/>
                <w:szCs w:val="24"/>
              </w:rPr>
            </w:pPr>
          </w:p>
        </w:tc>
        <w:tc>
          <w:tcPr>
            <w:tcW w:w="1907" w:type="pct"/>
            <w:shd w:val="clear" w:color="auto" w:fill="auto"/>
            <w:tcMar>
              <w:top w:w="100" w:type="dxa"/>
              <w:left w:w="100" w:type="dxa"/>
              <w:bottom w:w="100" w:type="dxa"/>
              <w:right w:w="100" w:type="dxa"/>
            </w:tcMar>
          </w:tcPr>
          <w:p w14:paraId="0540B3B3"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Medicine (MED)</w:t>
            </w:r>
          </w:p>
        </w:tc>
        <w:tc>
          <w:tcPr>
            <w:tcW w:w="1405" w:type="pct"/>
            <w:shd w:val="clear" w:color="auto" w:fill="auto"/>
            <w:tcMar>
              <w:top w:w="100" w:type="dxa"/>
              <w:left w:w="100" w:type="dxa"/>
              <w:bottom w:w="100" w:type="dxa"/>
              <w:right w:w="100" w:type="dxa"/>
            </w:tcMar>
          </w:tcPr>
          <w:p w14:paraId="1E3A7F32"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34</w:t>
            </w:r>
          </w:p>
        </w:tc>
        <w:tc>
          <w:tcPr>
            <w:tcW w:w="993" w:type="pct"/>
            <w:shd w:val="clear" w:color="auto" w:fill="auto"/>
            <w:tcMar>
              <w:top w:w="100" w:type="dxa"/>
              <w:left w:w="100" w:type="dxa"/>
              <w:bottom w:w="100" w:type="dxa"/>
              <w:right w:w="100" w:type="dxa"/>
            </w:tcMar>
          </w:tcPr>
          <w:p w14:paraId="452E583D" w14:textId="77777777" w:rsidR="00902209" w:rsidRPr="00B20B70" w:rsidRDefault="00902209" w:rsidP="00B20B70">
            <w:pPr>
              <w:pBdr>
                <w:top w:val="nil"/>
                <w:left w:val="nil"/>
                <w:bottom w:val="nil"/>
                <w:right w:val="nil"/>
                <w:between w:val="nil"/>
              </w:pBdr>
              <w:jc w:val="both"/>
              <w:rPr>
                <w:color w:val="000000" w:themeColor="text1"/>
                <w:sz w:val="24"/>
                <w:szCs w:val="24"/>
              </w:rPr>
            </w:pPr>
            <w:r w:rsidRPr="00B20B70">
              <w:rPr>
                <w:color w:val="000000" w:themeColor="text1"/>
                <w:sz w:val="24"/>
                <w:szCs w:val="24"/>
              </w:rPr>
              <w:t>9.5</w:t>
            </w:r>
          </w:p>
        </w:tc>
      </w:tr>
    </w:tbl>
    <w:p w14:paraId="58DE7101" w14:textId="61BB2113" w:rsidR="00902209" w:rsidRDefault="00902209" w:rsidP="00B20B70">
      <w:pPr>
        <w:pStyle w:val="BodyText"/>
        <w:jc w:val="both"/>
        <w:rPr>
          <w:color w:val="000000" w:themeColor="text1"/>
          <w:sz w:val="24"/>
          <w:szCs w:val="24"/>
          <w:lang w:val="en"/>
        </w:rPr>
      </w:pPr>
    </w:p>
    <w:p w14:paraId="62F0BEBA" w14:textId="48D1C3D4" w:rsidR="005D00CC" w:rsidRDefault="005D00CC" w:rsidP="00B20B70">
      <w:pPr>
        <w:pStyle w:val="BodyText"/>
        <w:jc w:val="both"/>
        <w:rPr>
          <w:color w:val="000000" w:themeColor="text1"/>
          <w:sz w:val="24"/>
          <w:szCs w:val="24"/>
          <w:lang w:val="en"/>
        </w:rPr>
      </w:pPr>
    </w:p>
    <w:p w14:paraId="32528930" w14:textId="77777777" w:rsidR="005D00CC" w:rsidRPr="00B20B70" w:rsidRDefault="005D00CC" w:rsidP="00B20B70">
      <w:pPr>
        <w:pStyle w:val="BodyText"/>
        <w:jc w:val="both"/>
        <w:rPr>
          <w:color w:val="000000" w:themeColor="text1"/>
          <w:sz w:val="24"/>
          <w:szCs w:val="24"/>
          <w:lang w:val="en"/>
        </w:rPr>
      </w:pPr>
    </w:p>
    <w:p w14:paraId="68A216CA" w14:textId="5A0D33D6" w:rsidR="00902209" w:rsidRPr="005D00CC" w:rsidRDefault="00902209" w:rsidP="005D00CC">
      <w:pPr>
        <w:pStyle w:val="BodyText"/>
        <w:jc w:val="center"/>
        <w:rPr>
          <w:color w:val="000000" w:themeColor="text1"/>
          <w:sz w:val="24"/>
          <w:szCs w:val="24"/>
          <w:lang w:val="en-US"/>
        </w:rPr>
      </w:pPr>
      <w:r w:rsidRPr="00B20B70">
        <w:rPr>
          <w:color w:val="000000" w:themeColor="text1"/>
          <w:sz w:val="24"/>
          <w:szCs w:val="24"/>
        </w:rPr>
        <w:lastRenderedPageBreak/>
        <w:t>Table 3. Numbers of Disinformation Based on Who Category</w:t>
      </w:r>
      <w:r w:rsidR="005D00CC">
        <w:rPr>
          <w:color w:val="000000" w:themeColor="text1"/>
          <w:sz w:val="24"/>
          <w:szCs w:val="24"/>
          <w:lang w:val="en-US"/>
        </w:rPr>
        <w:t xml:space="preserve"> </w:t>
      </w:r>
      <w:r w:rsidR="005D00CC" w:rsidRPr="00B20B70">
        <w:rPr>
          <w:color w:val="000000" w:themeColor="text1"/>
          <w:sz w:val="24"/>
          <w:szCs w:val="24"/>
          <w:lang w:val="en-US"/>
        </w:rPr>
        <w:t xml:space="preserve">(Source: </w:t>
      </w:r>
      <w:r w:rsidR="005D00CC">
        <w:rPr>
          <w:color w:val="000000" w:themeColor="text1"/>
          <w:sz w:val="24"/>
          <w:szCs w:val="24"/>
          <w:lang w:val="en-US"/>
        </w:rPr>
        <w:t>Research Document</w:t>
      </w:r>
      <w:r w:rsidR="005D00CC" w:rsidRPr="00B20B70">
        <w:rPr>
          <w:color w:val="000000" w:themeColor="text1"/>
          <w:sz w:val="24"/>
          <w:szCs w:val="24"/>
          <w:lang w:val="en-US"/>
        </w:rPr>
        <w:t xml:space="preserve"> (2020))</w:t>
      </w:r>
    </w:p>
    <w:tbl>
      <w:tblPr>
        <w:tblW w:w="0" w:type="auto"/>
        <w:tblInd w:w="1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67"/>
        <w:gridCol w:w="1843"/>
        <w:gridCol w:w="1276"/>
        <w:gridCol w:w="992"/>
      </w:tblGrid>
      <w:tr w:rsidR="00902209" w:rsidRPr="00B20B70" w14:paraId="1D8DD23F" w14:textId="77777777" w:rsidTr="00667F63">
        <w:trPr>
          <w:trHeight w:val="212"/>
        </w:trPr>
        <w:tc>
          <w:tcPr>
            <w:tcW w:w="567" w:type="dxa"/>
            <w:shd w:val="clear" w:color="auto" w:fill="auto"/>
            <w:tcMar>
              <w:top w:w="100" w:type="dxa"/>
              <w:left w:w="100" w:type="dxa"/>
              <w:bottom w:w="100" w:type="dxa"/>
              <w:right w:w="100" w:type="dxa"/>
            </w:tcMar>
          </w:tcPr>
          <w:p w14:paraId="2D514503" w14:textId="77777777" w:rsidR="00902209" w:rsidRPr="00B20B70" w:rsidRDefault="00902209" w:rsidP="00B20B70">
            <w:pPr>
              <w:jc w:val="both"/>
              <w:rPr>
                <w:color w:val="000000" w:themeColor="text1"/>
                <w:sz w:val="24"/>
                <w:szCs w:val="24"/>
              </w:rPr>
            </w:pPr>
            <w:r w:rsidRPr="00B20B70">
              <w:rPr>
                <w:color w:val="000000" w:themeColor="text1"/>
                <w:sz w:val="24"/>
                <w:szCs w:val="24"/>
              </w:rPr>
              <w:t>No.</w:t>
            </w:r>
          </w:p>
        </w:tc>
        <w:tc>
          <w:tcPr>
            <w:tcW w:w="1843" w:type="dxa"/>
            <w:shd w:val="clear" w:color="auto" w:fill="auto"/>
            <w:tcMar>
              <w:top w:w="100" w:type="dxa"/>
              <w:left w:w="100" w:type="dxa"/>
              <w:bottom w:w="100" w:type="dxa"/>
              <w:right w:w="100" w:type="dxa"/>
            </w:tcMar>
          </w:tcPr>
          <w:p w14:paraId="21D140B6" w14:textId="77777777" w:rsidR="00902209" w:rsidRPr="00B20B70" w:rsidRDefault="00902209" w:rsidP="00B20B70">
            <w:pPr>
              <w:jc w:val="both"/>
              <w:rPr>
                <w:color w:val="000000" w:themeColor="text1"/>
                <w:sz w:val="24"/>
                <w:szCs w:val="24"/>
              </w:rPr>
            </w:pPr>
            <w:r w:rsidRPr="00B20B70">
              <w:rPr>
                <w:color w:val="000000" w:themeColor="text1"/>
                <w:sz w:val="24"/>
                <w:szCs w:val="24"/>
              </w:rPr>
              <w:t>Code</w:t>
            </w:r>
          </w:p>
        </w:tc>
        <w:tc>
          <w:tcPr>
            <w:tcW w:w="1276" w:type="dxa"/>
            <w:shd w:val="clear" w:color="auto" w:fill="auto"/>
            <w:tcMar>
              <w:top w:w="100" w:type="dxa"/>
              <w:left w:w="100" w:type="dxa"/>
              <w:bottom w:w="100" w:type="dxa"/>
              <w:right w:w="100" w:type="dxa"/>
            </w:tcMar>
          </w:tcPr>
          <w:p w14:paraId="73AC3791" w14:textId="77777777" w:rsidR="00902209" w:rsidRPr="00B20B70" w:rsidRDefault="00902209" w:rsidP="00B20B70">
            <w:pPr>
              <w:jc w:val="both"/>
              <w:rPr>
                <w:color w:val="000000" w:themeColor="text1"/>
                <w:sz w:val="24"/>
                <w:szCs w:val="24"/>
              </w:rPr>
            </w:pPr>
            <w:r w:rsidRPr="00B20B70">
              <w:rPr>
                <w:color w:val="000000" w:themeColor="text1"/>
                <w:sz w:val="24"/>
                <w:szCs w:val="24"/>
              </w:rPr>
              <w:t>Σn</w:t>
            </w:r>
          </w:p>
        </w:tc>
        <w:tc>
          <w:tcPr>
            <w:tcW w:w="992" w:type="dxa"/>
            <w:shd w:val="clear" w:color="auto" w:fill="auto"/>
            <w:tcMar>
              <w:top w:w="100" w:type="dxa"/>
              <w:left w:w="100" w:type="dxa"/>
              <w:bottom w:w="100" w:type="dxa"/>
              <w:right w:w="100" w:type="dxa"/>
            </w:tcMar>
          </w:tcPr>
          <w:p w14:paraId="30DCB162" w14:textId="77777777" w:rsidR="00902209" w:rsidRPr="00B20B70" w:rsidRDefault="00902209" w:rsidP="00B20B70">
            <w:pPr>
              <w:jc w:val="both"/>
              <w:rPr>
                <w:color w:val="000000" w:themeColor="text1"/>
                <w:sz w:val="24"/>
                <w:szCs w:val="24"/>
              </w:rPr>
            </w:pPr>
            <w:r w:rsidRPr="00B20B70">
              <w:rPr>
                <w:color w:val="000000" w:themeColor="text1"/>
                <w:sz w:val="24"/>
                <w:szCs w:val="24"/>
              </w:rPr>
              <w:t>%</w:t>
            </w:r>
          </w:p>
        </w:tc>
      </w:tr>
      <w:tr w:rsidR="00902209" w:rsidRPr="00B20B70" w14:paraId="7E95D4DB" w14:textId="77777777" w:rsidTr="00667F63">
        <w:trPr>
          <w:trHeight w:val="47"/>
        </w:trPr>
        <w:tc>
          <w:tcPr>
            <w:tcW w:w="567" w:type="dxa"/>
            <w:shd w:val="clear" w:color="auto" w:fill="auto"/>
            <w:tcMar>
              <w:top w:w="100" w:type="dxa"/>
              <w:left w:w="100" w:type="dxa"/>
              <w:bottom w:w="100" w:type="dxa"/>
              <w:right w:w="100" w:type="dxa"/>
            </w:tcMar>
          </w:tcPr>
          <w:p w14:paraId="64C785F7" w14:textId="77777777" w:rsidR="00902209" w:rsidRPr="00B20B70" w:rsidRDefault="00902209" w:rsidP="00B20B70">
            <w:pPr>
              <w:widowControl w:val="0"/>
              <w:numPr>
                <w:ilvl w:val="0"/>
                <w:numId w:val="29"/>
              </w:numP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556B2EB8" w14:textId="77777777" w:rsidR="00902209" w:rsidRPr="00B20B70" w:rsidRDefault="00902209" w:rsidP="00B20B70">
            <w:pPr>
              <w:jc w:val="both"/>
              <w:rPr>
                <w:color w:val="000000" w:themeColor="text1"/>
                <w:sz w:val="24"/>
                <w:szCs w:val="24"/>
              </w:rPr>
            </w:pPr>
            <w:r w:rsidRPr="00B20B70">
              <w:rPr>
                <w:color w:val="000000" w:themeColor="text1"/>
                <w:sz w:val="24"/>
                <w:szCs w:val="24"/>
              </w:rPr>
              <w:t>Figures (FIG)</w:t>
            </w:r>
          </w:p>
        </w:tc>
        <w:tc>
          <w:tcPr>
            <w:tcW w:w="1276" w:type="dxa"/>
            <w:shd w:val="clear" w:color="auto" w:fill="auto"/>
            <w:tcMar>
              <w:top w:w="100" w:type="dxa"/>
              <w:left w:w="100" w:type="dxa"/>
              <w:bottom w:w="100" w:type="dxa"/>
              <w:right w:w="100" w:type="dxa"/>
            </w:tcMar>
          </w:tcPr>
          <w:p w14:paraId="0BEC2875" w14:textId="77777777" w:rsidR="00902209" w:rsidRPr="00B20B70" w:rsidRDefault="00902209" w:rsidP="00B20B70">
            <w:pPr>
              <w:jc w:val="both"/>
              <w:rPr>
                <w:color w:val="000000" w:themeColor="text1"/>
                <w:sz w:val="24"/>
                <w:szCs w:val="24"/>
              </w:rPr>
            </w:pPr>
            <w:r w:rsidRPr="00B20B70">
              <w:rPr>
                <w:color w:val="000000" w:themeColor="text1"/>
                <w:sz w:val="24"/>
                <w:szCs w:val="24"/>
              </w:rPr>
              <w:t>157</w:t>
            </w:r>
          </w:p>
        </w:tc>
        <w:tc>
          <w:tcPr>
            <w:tcW w:w="992" w:type="dxa"/>
            <w:shd w:val="clear" w:color="auto" w:fill="auto"/>
            <w:tcMar>
              <w:top w:w="100" w:type="dxa"/>
              <w:left w:w="100" w:type="dxa"/>
              <w:bottom w:w="100" w:type="dxa"/>
              <w:right w:w="100" w:type="dxa"/>
            </w:tcMar>
          </w:tcPr>
          <w:p w14:paraId="7DD8BB49" w14:textId="77777777" w:rsidR="00902209" w:rsidRPr="00B20B70" w:rsidRDefault="00902209" w:rsidP="00B20B70">
            <w:pPr>
              <w:jc w:val="both"/>
              <w:rPr>
                <w:color w:val="000000" w:themeColor="text1"/>
                <w:sz w:val="24"/>
                <w:szCs w:val="24"/>
              </w:rPr>
            </w:pPr>
            <w:r w:rsidRPr="00B20B70">
              <w:rPr>
                <w:color w:val="000000" w:themeColor="text1"/>
                <w:sz w:val="24"/>
                <w:szCs w:val="24"/>
              </w:rPr>
              <w:t>52.2</w:t>
            </w:r>
          </w:p>
        </w:tc>
      </w:tr>
      <w:tr w:rsidR="00902209" w:rsidRPr="00B20B70" w14:paraId="35CDC899" w14:textId="77777777" w:rsidTr="00667F63">
        <w:trPr>
          <w:trHeight w:val="167"/>
        </w:trPr>
        <w:tc>
          <w:tcPr>
            <w:tcW w:w="567" w:type="dxa"/>
            <w:shd w:val="clear" w:color="auto" w:fill="auto"/>
            <w:tcMar>
              <w:top w:w="100" w:type="dxa"/>
              <w:left w:w="100" w:type="dxa"/>
              <w:bottom w:w="100" w:type="dxa"/>
              <w:right w:w="100" w:type="dxa"/>
            </w:tcMar>
          </w:tcPr>
          <w:p w14:paraId="5513C0C8" w14:textId="77777777" w:rsidR="00902209" w:rsidRPr="00B20B70" w:rsidRDefault="00902209" w:rsidP="00B20B70">
            <w:pPr>
              <w:widowControl w:val="0"/>
              <w:numPr>
                <w:ilvl w:val="0"/>
                <w:numId w:val="29"/>
              </w:numP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71D78FCC" w14:textId="77777777" w:rsidR="00902209" w:rsidRPr="00B20B70" w:rsidRDefault="00902209" w:rsidP="00B20B70">
            <w:pPr>
              <w:jc w:val="both"/>
              <w:rPr>
                <w:color w:val="000000" w:themeColor="text1"/>
                <w:sz w:val="24"/>
                <w:szCs w:val="24"/>
              </w:rPr>
            </w:pPr>
            <w:r w:rsidRPr="00B20B70">
              <w:rPr>
                <w:color w:val="000000" w:themeColor="text1"/>
                <w:sz w:val="24"/>
                <w:szCs w:val="24"/>
              </w:rPr>
              <w:t>Very Important Person (VIP)</w:t>
            </w:r>
          </w:p>
        </w:tc>
        <w:tc>
          <w:tcPr>
            <w:tcW w:w="1276" w:type="dxa"/>
            <w:shd w:val="clear" w:color="auto" w:fill="auto"/>
            <w:tcMar>
              <w:top w:w="100" w:type="dxa"/>
              <w:left w:w="100" w:type="dxa"/>
              <w:bottom w:w="100" w:type="dxa"/>
              <w:right w:w="100" w:type="dxa"/>
            </w:tcMar>
          </w:tcPr>
          <w:p w14:paraId="75B46876" w14:textId="77777777" w:rsidR="00902209" w:rsidRPr="00B20B70" w:rsidRDefault="00902209" w:rsidP="00B20B70">
            <w:pPr>
              <w:jc w:val="both"/>
              <w:rPr>
                <w:color w:val="000000" w:themeColor="text1"/>
                <w:sz w:val="24"/>
                <w:szCs w:val="24"/>
              </w:rPr>
            </w:pPr>
            <w:r w:rsidRPr="00B20B70">
              <w:rPr>
                <w:color w:val="000000" w:themeColor="text1"/>
                <w:sz w:val="24"/>
                <w:szCs w:val="24"/>
              </w:rPr>
              <w:t>58</w:t>
            </w:r>
          </w:p>
        </w:tc>
        <w:tc>
          <w:tcPr>
            <w:tcW w:w="992" w:type="dxa"/>
            <w:shd w:val="clear" w:color="auto" w:fill="auto"/>
            <w:tcMar>
              <w:top w:w="100" w:type="dxa"/>
              <w:left w:w="100" w:type="dxa"/>
              <w:bottom w:w="100" w:type="dxa"/>
              <w:right w:w="100" w:type="dxa"/>
            </w:tcMar>
          </w:tcPr>
          <w:p w14:paraId="251871AD" w14:textId="77777777" w:rsidR="00902209" w:rsidRPr="00B20B70" w:rsidRDefault="00902209" w:rsidP="00B20B70">
            <w:pPr>
              <w:jc w:val="both"/>
              <w:rPr>
                <w:color w:val="000000" w:themeColor="text1"/>
                <w:sz w:val="24"/>
                <w:szCs w:val="24"/>
              </w:rPr>
            </w:pPr>
            <w:r w:rsidRPr="00B20B70">
              <w:rPr>
                <w:color w:val="000000" w:themeColor="text1"/>
                <w:sz w:val="24"/>
                <w:szCs w:val="24"/>
              </w:rPr>
              <w:t>16.2</w:t>
            </w:r>
          </w:p>
        </w:tc>
      </w:tr>
      <w:tr w:rsidR="00902209" w:rsidRPr="00B20B70" w14:paraId="0ADF80CB" w14:textId="77777777" w:rsidTr="00667F63">
        <w:trPr>
          <w:trHeight w:val="146"/>
        </w:trPr>
        <w:tc>
          <w:tcPr>
            <w:tcW w:w="567" w:type="dxa"/>
            <w:shd w:val="clear" w:color="auto" w:fill="auto"/>
            <w:tcMar>
              <w:top w:w="100" w:type="dxa"/>
              <w:left w:w="100" w:type="dxa"/>
              <w:bottom w:w="100" w:type="dxa"/>
              <w:right w:w="100" w:type="dxa"/>
            </w:tcMar>
          </w:tcPr>
          <w:p w14:paraId="32956BC0" w14:textId="77777777" w:rsidR="00902209" w:rsidRPr="00B20B70" w:rsidRDefault="00902209" w:rsidP="00B20B70">
            <w:pPr>
              <w:widowControl w:val="0"/>
              <w:numPr>
                <w:ilvl w:val="0"/>
                <w:numId w:val="29"/>
              </w:numP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29537A3F" w14:textId="1A443290" w:rsidR="00902209" w:rsidRPr="00B20B70" w:rsidRDefault="00902209" w:rsidP="00B20B70">
            <w:pPr>
              <w:jc w:val="both"/>
              <w:rPr>
                <w:color w:val="000000" w:themeColor="text1"/>
                <w:sz w:val="24"/>
                <w:szCs w:val="24"/>
              </w:rPr>
            </w:pPr>
            <w:r w:rsidRPr="00B20B70">
              <w:rPr>
                <w:color w:val="000000" w:themeColor="text1"/>
                <w:sz w:val="24"/>
                <w:szCs w:val="24"/>
              </w:rPr>
              <w:t>Others (OTH)</w:t>
            </w:r>
          </w:p>
        </w:tc>
        <w:tc>
          <w:tcPr>
            <w:tcW w:w="1276" w:type="dxa"/>
            <w:shd w:val="clear" w:color="auto" w:fill="auto"/>
            <w:tcMar>
              <w:top w:w="100" w:type="dxa"/>
              <w:left w:w="100" w:type="dxa"/>
              <w:bottom w:w="100" w:type="dxa"/>
              <w:right w:w="100" w:type="dxa"/>
            </w:tcMar>
          </w:tcPr>
          <w:p w14:paraId="02858008" w14:textId="77777777" w:rsidR="00902209" w:rsidRPr="00B20B70" w:rsidRDefault="00902209" w:rsidP="00B20B70">
            <w:pPr>
              <w:jc w:val="both"/>
              <w:rPr>
                <w:color w:val="000000" w:themeColor="text1"/>
                <w:sz w:val="24"/>
                <w:szCs w:val="24"/>
              </w:rPr>
            </w:pPr>
            <w:r w:rsidRPr="00B20B70">
              <w:rPr>
                <w:color w:val="000000" w:themeColor="text1"/>
                <w:sz w:val="24"/>
                <w:szCs w:val="24"/>
              </w:rPr>
              <w:t>38</w:t>
            </w:r>
          </w:p>
        </w:tc>
        <w:tc>
          <w:tcPr>
            <w:tcW w:w="992" w:type="dxa"/>
            <w:shd w:val="clear" w:color="auto" w:fill="auto"/>
            <w:tcMar>
              <w:top w:w="100" w:type="dxa"/>
              <w:left w:w="100" w:type="dxa"/>
              <w:bottom w:w="100" w:type="dxa"/>
              <w:right w:w="100" w:type="dxa"/>
            </w:tcMar>
          </w:tcPr>
          <w:p w14:paraId="568D6EC6" w14:textId="77777777" w:rsidR="00902209" w:rsidRPr="00B20B70" w:rsidRDefault="00902209" w:rsidP="00B20B70">
            <w:pPr>
              <w:jc w:val="both"/>
              <w:rPr>
                <w:color w:val="000000" w:themeColor="text1"/>
                <w:sz w:val="24"/>
                <w:szCs w:val="24"/>
              </w:rPr>
            </w:pPr>
            <w:r w:rsidRPr="00B20B70">
              <w:rPr>
                <w:color w:val="000000" w:themeColor="text1"/>
                <w:sz w:val="24"/>
                <w:szCs w:val="24"/>
              </w:rPr>
              <w:t>12.6</w:t>
            </w:r>
          </w:p>
        </w:tc>
      </w:tr>
      <w:tr w:rsidR="00902209" w:rsidRPr="00B20B70" w14:paraId="17B7BF24" w14:textId="77777777" w:rsidTr="00667F63">
        <w:trPr>
          <w:trHeight w:val="256"/>
        </w:trPr>
        <w:tc>
          <w:tcPr>
            <w:tcW w:w="567" w:type="dxa"/>
            <w:shd w:val="clear" w:color="auto" w:fill="auto"/>
            <w:tcMar>
              <w:top w:w="100" w:type="dxa"/>
              <w:left w:w="100" w:type="dxa"/>
              <w:bottom w:w="100" w:type="dxa"/>
              <w:right w:w="100" w:type="dxa"/>
            </w:tcMar>
          </w:tcPr>
          <w:p w14:paraId="3B5CB494" w14:textId="77777777" w:rsidR="00902209" w:rsidRPr="00B20B70" w:rsidRDefault="00902209" w:rsidP="00B20B70">
            <w:pPr>
              <w:widowControl w:val="0"/>
              <w:numPr>
                <w:ilvl w:val="0"/>
                <w:numId w:val="29"/>
              </w:numP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6E885A85" w14:textId="77777777" w:rsidR="00902209" w:rsidRPr="00B20B70" w:rsidRDefault="00902209" w:rsidP="00B20B70">
            <w:pPr>
              <w:jc w:val="both"/>
              <w:rPr>
                <w:color w:val="000000" w:themeColor="text1"/>
                <w:sz w:val="24"/>
                <w:szCs w:val="24"/>
              </w:rPr>
            </w:pPr>
            <w:r w:rsidRPr="00B20B70">
              <w:rPr>
                <w:color w:val="000000" w:themeColor="text1"/>
                <w:sz w:val="24"/>
                <w:szCs w:val="24"/>
              </w:rPr>
              <w:t>Alternative Medicine (ALT)</w:t>
            </w:r>
          </w:p>
        </w:tc>
        <w:tc>
          <w:tcPr>
            <w:tcW w:w="1276" w:type="dxa"/>
            <w:shd w:val="clear" w:color="auto" w:fill="auto"/>
            <w:tcMar>
              <w:top w:w="100" w:type="dxa"/>
              <w:left w:w="100" w:type="dxa"/>
              <w:bottom w:w="100" w:type="dxa"/>
              <w:right w:w="100" w:type="dxa"/>
            </w:tcMar>
          </w:tcPr>
          <w:p w14:paraId="00058879" w14:textId="77777777" w:rsidR="00902209" w:rsidRPr="00B20B70" w:rsidRDefault="00902209" w:rsidP="00B20B70">
            <w:pPr>
              <w:jc w:val="both"/>
              <w:rPr>
                <w:color w:val="000000" w:themeColor="text1"/>
                <w:sz w:val="24"/>
                <w:szCs w:val="24"/>
              </w:rPr>
            </w:pPr>
            <w:r w:rsidRPr="00B20B70">
              <w:rPr>
                <w:color w:val="000000" w:themeColor="text1"/>
                <w:sz w:val="24"/>
                <w:szCs w:val="24"/>
              </w:rPr>
              <w:t>32</w:t>
            </w:r>
          </w:p>
        </w:tc>
        <w:tc>
          <w:tcPr>
            <w:tcW w:w="992" w:type="dxa"/>
            <w:shd w:val="clear" w:color="auto" w:fill="auto"/>
            <w:tcMar>
              <w:top w:w="100" w:type="dxa"/>
              <w:left w:w="100" w:type="dxa"/>
              <w:bottom w:w="100" w:type="dxa"/>
              <w:right w:w="100" w:type="dxa"/>
            </w:tcMar>
          </w:tcPr>
          <w:p w14:paraId="6F5129A6" w14:textId="77777777" w:rsidR="00902209" w:rsidRPr="00B20B70" w:rsidRDefault="00902209" w:rsidP="00B20B70">
            <w:pPr>
              <w:jc w:val="both"/>
              <w:rPr>
                <w:color w:val="000000" w:themeColor="text1"/>
                <w:sz w:val="24"/>
                <w:szCs w:val="24"/>
              </w:rPr>
            </w:pPr>
            <w:r w:rsidRPr="00B20B70">
              <w:rPr>
                <w:color w:val="000000" w:themeColor="text1"/>
                <w:sz w:val="24"/>
                <w:szCs w:val="24"/>
              </w:rPr>
              <w:t>10.6</w:t>
            </w:r>
          </w:p>
        </w:tc>
      </w:tr>
      <w:tr w:rsidR="00902209" w:rsidRPr="00B20B70" w14:paraId="2B5D3D98" w14:textId="77777777" w:rsidTr="00667F63">
        <w:trPr>
          <w:trHeight w:val="157"/>
        </w:trPr>
        <w:tc>
          <w:tcPr>
            <w:tcW w:w="567" w:type="dxa"/>
            <w:shd w:val="clear" w:color="auto" w:fill="auto"/>
            <w:tcMar>
              <w:top w:w="100" w:type="dxa"/>
              <w:left w:w="100" w:type="dxa"/>
              <w:bottom w:w="100" w:type="dxa"/>
              <w:right w:w="100" w:type="dxa"/>
            </w:tcMar>
          </w:tcPr>
          <w:p w14:paraId="7F2C96D3" w14:textId="77777777" w:rsidR="00902209" w:rsidRPr="00B20B70" w:rsidRDefault="00902209" w:rsidP="00B20B70">
            <w:pPr>
              <w:widowControl w:val="0"/>
              <w:numPr>
                <w:ilvl w:val="0"/>
                <w:numId w:val="29"/>
              </w:numP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6CA3192E" w14:textId="77777777" w:rsidR="00902209" w:rsidRPr="00B20B70" w:rsidRDefault="00902209" w:rsidP="00B20B70">
            <w:pPr>
              <w:jc w:val="both"/>
              <w:rPr>
                <w:color w:val="000000" w:themeColor="text1"/>
                <w:sz w:val="24"/>
                <w:szCs w:val="24"/>
              </w:rPr>
            </w:pPr>
            <w:r w:rsidRPr="00B20B70">
              <w:rPr>
                <w:color w:val="000000" w:themeColor="text1"/>
                <w:sz w:val="24"/>
                <w:szCs w:val="24"/>
              </w:rPr>
              <w:t>Public Place (PLA)</w:t>
            </w:r>
          </w:p>
        </w:tc>
        <w:tc>
          <w:tcPr>
            <w:tcW w:w="1276" w:type="dxa"/>
            <w:shd w:val="clear" w:color="auto" w:fill="auto"/>
            <w:tcMar>
              <w:top w:w="100" w:type="dxa"/>
              <w:left w:w="100" w:type="dxa"/>
              <w:bottom w:w="100" w:type="dxa"/>
              <w:right w:w="100" w:type="dxa"/>
            </w:tcMar>
          </w:tcPr>
          <w:p w14:paraId="4809F5B8" w14:textId="77777777" w:rsidR="00902209" w:rsidRPr="00B20B70" w:rsidRDefault="00902209" w:rsidP="00B20B70">
            <w:pPr>
              <w:jc w:val="both"/>
              <w:rPr>
                <w:color w:val="000000" w:themeColor="text1"/>
                <w:sz w:val="24"/>
                <w:szCs w:val="24"/>
              </w:rPr>
            </w:pPr>
            <w:r w:rsidRPr="00B20B70">
              <w:rPr>
                <w:color w:val="000000" w:themeColor="text1"/>
                <w:sz w:val="24"/>
                <w:szCs w:val="24"/>
              </w:rPr>
              <w:t>30</w:t>
            </w:r>
          </w:p>
        </w:tc>
        <w:tc>
          <w:tcPr>
            <w:tcW w:w="992" w:type="dxa"/>
            <w:shd w:val="clear" w:color="auto" w:fill="auto"/>
            <w:tcMar>
              <w:top w:w="100" w:type="dxa"/>
              <w:left w:w="100" w:type="dxa"/>
              <w:bottom w:w="100" w:type="dxa"/>
              <w:right w:w="100" w:type="dxa"/>
            </w:tcMar>
          </w:tcPr>
          <w:p w14:paraId="41245EFF" w14:textId="77777777" w:rsidR="00902209" w:rsidRPr="00B20B70" w:rsidRDefault="00902209" w:rsidP="00B20B70">
            <w:pPr>
              <w:jc w:val="both"/>
              <w:rPr>
                <w:color w:val="000000" w:themeColor="text1"/>
                <w:sz w:val="24"/>
                <w:szCs w:val="24"/>
              </w:rPr>
            </w:pPr>
            <w:r w:rsidRPr="00B20B70">
              <w:rPr>
                <w:color w:val="000000" w:themeColor="text1"/>
                <w:sz w:val="24"/>
                <w:szCs w:val="24"/>
              </w:rPr>
              <w:t>10</w:t>
            </w:r>
          </w:p>
        </w:tc>
      </w:tr>
      <w:tr w:rsidR="00902209" w:rsidRPr="00B20B70" w14:paraId="5587D010" w14:textId="77777777" w:rsidTr="00667F63">
        <w:trPr>
          <w:trHeight w:val="134"/>
        </w:trPr>
        <w:tc>
          <w:tcPr>
            <w:tcW w:w="567" w:type="dxa"/>
            <w:shd w:val="clear" w:color="auto" w:fill="auto"/>
            <w:tcMar>
              <w:top w:w="100" w:type="dxa"/>
              <w:left w:w="100" w:type="dxa"/>
              <w:bottom w:w="100" w:type="dxa"/>
              <w:right w:w="100" w:type="dxa"/>
            </w:tcMar>
          </w:tcPr>
          <w:p w14:paraId="3310CBB5" w14:textId="77777777" w:rsidR="00902209" w:rsidRPr="00B20B70" w:rsidRDefault="00902209" w:rsidP="00B20B70">
            <w:pPr>
              <w:widowControl w:val="0"/>
              <w:numPr>
                <w:ilvl w:val="0"/>
                <w:numId w:val="29"/>
              </w:numPr>
              <w:pBdr>
                <w:top w:val="nil"/>
                <w:left w:val="nil"/>
                <w:bottom w:val="nil"/>
                <w:right w:val="nil"/>
                <w:between w:val="nil"/>
              </w:pBd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2663B047" w14:textId="77777777" w:rsidR="00902209" w:rsidRPr="00B20B70" w:rsidRDefault="00902209" w:rsidP="00B20B70">
            <w:pPr>
              <w:jc w:val="both"/>
              <w:rPr>
                <w:color w:val="000000" w:themeColor="text1"/>
                <w:sz w:val="24"/>
                <w:szCs w:val="24"/>
              </w:rPr>
            </w:pPr>
            <w:r w:rsidRPr="00B20B70">
              <w:rPr>
                <w:color w:val="000000" w:themeColor="text1"/>
                <w:sz w:val="24"/>
                <w:szCs w:val="24"/>
              </w:rPr>
              <w:t>Commercial Place (COM)</w:t>
            </w:r>
          </w:p>
        </w:tc>
        <w:tc>
          <w:tcPr>
            <w:tcW w:w="1276" w:type="dxa"/>
            <w:shd w:val="clear" w:color="auto" w:fill="auto"/>
            <w:tcMar>
              <w:top w:w="100" w:type="dxa"/>
              <w:left w:w="100" w:type="dxa"/>
              <w:bottom w:w="100" w:type="dxa"/>
              <w:right w:w="100" w:type="dxa"/>
            </w:tcMar>
          </w:tcPr>
          <w:p w14:paraId="596E5F3F" w14:textId="77777777" w:rsidR="00902209" w:rsidRPr="00B20B70" w:rsidRDefault="00902209" w:rsidP="00B20B70">
            <w:pPr>
              <w:jc w:val="both"/>
              <w:rPr>
                <w:color w:val="000000" w:themeColor="text1"/>
                <w:sz w:val="24"/>
                <w:szCs w:val="24"/>
              </w:rPr>
            </w:pPr>
            <w:r w:rsidRPr="00B20B70">
              <w:rPr>
                <w:color w:val="000000" w:themeColor="text1"/>
                <w:sz w:val="24"/>
                <w:szCs w:val="24"/>
              </w:rPr>
              <w:t>26</w:t>
            </w:r>
          </w:p>
        </w:tc>
        <w:tc>
          <w:tcPr>
            <w:tcW w:w="992" w:type="dxa"/>
            <w:shd w:val="clear" w:color="auto" w:fill="auto"/>
            <w:tcMar>
              <w:top w:w="100" w:type="dxa"/>
              <w:left w:w="100" w:type="dxa"/>
              <w:bottom w:w="100" w:type="dxa"/>
              <w:right w:w="100" w:type="dxa"/>
            </w:tcMar>
          </w:tcPr>
          <w:p w14:paraId="7A48CA5A" w14:textId="77777777" w:rsidR="00902209" w:rsidRPr="00B20B70" w:rsidRDefault="00902209" w:rsidP="00B20B70">
            <w:pPr>
              <w:jc w:val="both"/>
              <w:rPr>
                <w:color w:val="000000" w:themeColor="text1"/>
                <w:sz w:val="24"/>
                <w:szCs w:val="24"/>
              </w:rPr>
            </w:pPr>
            <w:r w:rsidRPr="00B20B70">
              <w:rPr>
                <w:color w:val="000000" w:themeColor="text1"/>
                <w:sz w:val="24"/>
                <w:szCs w:val="24"/>
              </w:rPr>
              <w:t>8.6</w:t>
            </w:r>
          </w:p>
        </w:tc>
      </w:tr>
      <w:tr w:rsidR="00902209" w:rsidRPr="00B20B70" w14:paraId="41B34FD4" w14:textId="77777777" w:rsidTr="00667F63">
        <w:trPr>
          <w:trHeight w:val="254"/>
        </w:trPr>
        <w:tc>
          <w:tcPr>
            <w:tcW w:w="567" w:type="dxa"/>
            <w:shd w:val="clear" w:color="auto" w:fill="auto"/>
            <w:tcMar>
              <w:top w:w="100" w:type="dxa"/>
              <w:left w:w="100" w:type="dxa"/>
              <w:bottom w:w="100" w:type="dxa"/>
              <w:right w:w="100" w:type="dxa"/>
            </w:tcMar>
          </w:tcPr>
          <w:p w14:paraId="5645C8E8" w14:textId="77777777" w:rsidR="00902209" w:rsidRPr="00B20B70" w:rsidRDefault="00902209" w:rsidP="00B20B70">
            <w:pPr>
              <w:widowControl w:val="0"/>
              <w:numPr>
                <w:ilvl w:val="0"/>
                <w:numId w:val="29"/>
              </w:numPr>
              <w:pBdr>
                <w:top w:val="nil"/>
                <w:left w:val="nil"/>
                <w:bottom w:val="nil"/>
                <w:right w:val="nil"/>
                <w:between w:val="nil"/>
              </w:pBd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4E3956FB" w14:textId="77777777" w:rsidR="00902209" w:rsidRPr="00B20B70" w:rsidRDefault="00902209" w:rsidP="00B20B70">
            <w:pPr>
              <w:jc w:val="both"/>
              <w:rPr>
                <w:color w:val="000000" w:themeColor="text1"/>
                <w:sz w:val="24"/>
                <w:szCs w:val="24"/>
              </w:rPr>
            </w:pPr>
            <w:r w:rsidRPr="00B20B70">
              <w:rPr>
                <w:color w:val="000000" w:themeColor="text1"/>
                <w:sz w:val="24"/>
                <w:szCs w:val="24"/>
              </w:rPr>
              <w:t>Health Facilities (HFA)</w:t>
            </w:r>
          </w:p>
        </w:tc>
        <w:tc>
          <w:tcPr>
            <w:tcW w:w="1276" w:type="dxa"/>
            <w:shd w:val="clear" w:color="auto" w:fill="auto"/>
            <w:tcMar>
              <w:top w:w="100" w:type="dxa"/>
              <w:left w:w="100" w:type="dxa"/>
              <w:bottom w:w="100" w:type="dxa"/>
              <w:right w:w="100" w:type="dxa"/>
            </w:tcMar>
          </w:tcPr>
          <w:p w14:paraId="08CAA7D7" w14:textId="77777777" w:rsidR="00902209" w:rsidRPr="00B20B70" w:rsidRDefault="00902209" w:rsidP="00B20B70">
            <w:pPr>
              <w:jc w:val="both"/>
              <w:rPr>
                <w:color w:val="000000" w:themeColor="text1"/>
                <w:sz w:val="24"/>
                <w:szCs w:val="24"/>
              </w:rPr>
            </w:pPr>
            <w:r w:rsidRPr="00B20B70">
              <w:rPr>
                <w:color w:val="000000" w:themeColor="text1"/>
                <w:sz w:val="24"/>
                <w:szCs w:val="24"/>
              </w:rPr>
              <w:t>14</w:t>
            </w:r>
          </w:p>
        </w:tc>
        <w:tc>
          <w:tcPr>
            <w:tcW w:w="992" w:type="dxa"/>
            <w:shd w:val="clear" w:color="auto" w:fill="auto"/>
            <w:tcMar>
              <w:top w:w="100" w:type="dxa"/>
              <w:left w:w="100" w:type="dxa"/>
              <w:bottom w:w="100" w:type="dxa"/>
              <w:right w:w="100" w:type="dxa"/>
            </w:tcMar>
          </w:tcPr>
          <w:p w14:paraId="61958F9C" w14:textId="77777777" w:rsidR="00902209" w:rsidRPr="00B20B70" w:rsidRDefault="00902209" w:rsidP="00B20B70">
            <w:pPr>
              <w:jc w:val="both"/>
              <w:rPr>
                <w:color w:val="000000" w:themeColor="text1"/>
                <w:sz w:val="24"/>
                <w:szCs w:val="24"/>
              </w:rPr>
            </w:pPr>
            <w:r w:rsidRPr="00B20B70">
              <w:rPr>
                <w:color w:val="000000" w:themeColor="text1"/>
                <w:sz w:val="24"/>
                <w:szCs w:val="24"/>
              </w:rPr>
              <w:t>3.9</w:t>
            </w:r>
          </w:p>
        </w:tc>
      </w:tr>
      <w:tr w:rsidR="00902209" w:rsidRPr="00B20B70" w14:paraId="7EA7156E" w14:textId="77777777" w:rsidTr="00667F63">
        <w:trPr>
          <w:trHeight w:val="205"/>
        </w:trPr>
        <w:tc>
          <w:tcPr>
            <w:tcW w:w="567" w:type="dxa"/>
            <w:shd w:val="clear" w:color="auto" w:fill="auto"/>
            <w:tcMar>
              <w:top w:w="100" w:type="dxa"/>
              <w:left w:w="100" w:type="dxa"/>
              <w:bottom w:w="100" w:type="dxa"/>
              <w:right w:w="100" w:type="dxa"/>
            </w:tcMar>
          </w:tcPr>
          <w:p w14:paraId="170A5109" w14:textId="77777777" w:rsidR="00902209" w:rsidRPr="00B20B70" w:rsidRDefault="00902209" w:rsidP="00B20B70">
            <w:pPr>
              <w:widowControl w:val="0"/>
              <w:numPr>
                <w:ilvl w:val="0"/>
                <w:numId w:val="29"/>
              </w:numPr>
              <w:pBdr>
                <w:top w:val="nil"/>
                <w:left w:val="nil"/>
                <w:bottom w:val="nil"/>
                <w:right w:val="nil"/>
                <w:between w:val="nil"/>
              </w:pBdr>
              <w:ind w:left="405" w:right="-15" w:hanging="315"/>
              <w:jc w:val="both"/>
              <w:rPr>
                <w:color w:val="000000" w:themeColor="text1"/>
                <w:sz w:val="24"/>
                <w:szCs w:val="24"/>
              </w:rPr>
            </w:pPr>
          </w:p>
        </w:tc>
        <w:tc>
          <w:tcPr>
            <w:tcW w:w="1843" w:type="dxa"/>
            <w:shd w:val="clear" w:color="auto" w:fill="auto"/>
            <w:tcMar>
              <w:top w:w="100" w:type="dxa"/>
              <w:left w:w="100" w:type="dxa"/>
              <w:bottom w:w="100" w:type="dxa"/>
              <w:right w:w="100" w:type="dxa"/>
            </w:tcMar>
          </w:tcPr>
          <w:p w14:paraId="01D371A8" w14:textId="77777777" w:rsidR="00902209" w:rsidRPr="00B20B70" w:rsidRDefault="00902209" w:rsidP="00B20B70">
            <w:pPr>
              <w:jc w:val="both"/>
              <w:rPr>
                <w:color w:val="000000" w:themeColor="text1"/>
                <w:sz w:val="24"/>
                <w:szCs w:val="24"/>
              </w:rPr>
            </w:pPr>
            <w:r w:rsidRPr="00B20B70">
              <w:rPr>
                <w:color w:val="000000" w:themeColor="text1"/>
                <w:sz w:val="24"/>
                <w:szCs w:val="24"/>
              </w:rPr>
              <w:t>Technology (TEC)</w:t>
            </w:r>
          </w:p>
        </w:tc>
        <w:tc>
          <w:tcPr>
            <w:tcW w:w="1276" w:type="dxa"/>
            <w:shd w:val="clear" w:color="auto" w:fill="auto"/>
            <w:tcMar>
              <w:top w:w="100" w:type="dxa"/>
              <w:left w:w="100" w:type="dxa"/>
              <w:bottom w:w="100" w:type="dxa"/>
              <w:right w:w="100" w:type="dxa"/>
            </w:tcMar>
          </w:tcPr>
          <w:p w14:paraId="27BBF407" w14:textId="77777777" w:rsidR="00902209" w:rsidRPr="00B20B70" w:rsidRDefault="00902209" w:rsidP="00B20B70">
            <w:pPr>
              <w:jc w:val="both"/>
              <w:rPr>
                <w:color w:val="000000" w:themeColor="text1"/>
                <w:sz w:val="24"/>
                <w:szCs w:val="24"/>
              </w:rPr>
            </w:pPr>
            <w:r w:rsidRPr="00B20B70">
              <w:rPr>
                <w:color w:val="000000" w:themeColor="text1"/>
                <w:sz w:val="24"/>
                <w:szCs w:val="24"/>
              </w:rPr>
              <w:t>4</w:t>
            </w:r>
          </w:p>
        </w:tc>
        <w:tc>
          <w:tcPr>
            <w:tcW w:w="992" w:type="dxa"/>
            <w:shd w:val="clear" w:color="auto" w:fill="auto"/>
            <w:tcMar>
              <w:top w:w="100" w:type="dxa"/>
              <w:left w:w="100" w:type="dxa"/>
              <w:bottom w:w="100" w:type="dxa"/>
              <w:right w:w="100" w:type="dxa"/>
            </w:tcMar>
          </w:tcPr>
          <w:p w14:paraId="708D7AA6" w14:textId="77777777" w:rsidR="00902209" w:rsidRPr="00B20B70" w:rsidRDefault="00902209" w:rsidP="00B20B70">
            <w:pPr>
              <w:jc w:val="both"/>
              <w:rPr>
                <w:color w:val="000000" w:themeColor="text1"/>
                <w:sz w:val="24"/>
                <w:szCs w:val="24"/>
              </w:rPr>
            </w:pPr>
            <w:r w:rsidRPr="00B20B70">
              <w:rPr>
                <w:color w:val="000000" w:themeColor="text1"/>
                <w:sz w:val="24"/>
                <w:szCs w:val="24"/>
              </w:rPr>
              <w:t>1.1</w:t>
            </w:r>
          </w:p>
        </w:tc>
      </w:tr>
    </w:tbl>
    <w:p w14:paraId="3769E4AF" w14:textId="77777777" w:rsidR="00667F63" w:rsidRPr="00B20B70" w:rsidRDefault="00667F63" w:rsidP="00B20B70">
      <w:pPr>
        <w:pStyle w:val="BodyText"/>
        <w:spacing w:before="11"/>
        <w:jc w:val="both"/>
        <w:rPr>
          <w:color w:val="000000" w:themeColor="text1"/>
          <w:sz w:val="24"/>
          <w:szCs w:val="24"/>
        </w:rPr>
      </w:pPr>
    </w:p>
    <w:p w14:paraId="57B5E4EA" w14:textId="660DC460" w:rsidR="00667F63" w:rsidRPr="00B20B70" w:rsidRDefault="00667F63" w:rsidP="00B20B70">
      <w:pPr>
        <w:pStyle w:val="BodyText"/>
        <w:spacing w:before="11"/>
        <w:jc w:val="both"/>
        <w:rPr>
          <w:color w:val="000000" w:themeColor="text1"/>
          <w:sz w:val="24"/>
          <w:szCs w:val="24"/>
          <w:lang w:val="en-US"/>
        </w:rPr>
      </w:pPr>
      <w:r w:rsidRPr="00B20B70">
        <w:rPr>
          <w:color w:val="000000" w:themeColor="text1"/>
          <w:sz w:val="24"/>
          <w:szCs w:val="24"/>
        </w:rPr>
        <w:t>Based on the content analysis results</w:t>
      </w:r>
      <w:r w:rsidRPr="00B20B70">
        <w:rPr>
          <w:color w:val="000000" w:themeColor="text1"/>
          <w:sz w:val="24"/>
          <w:szCs w:val="24"/>
          <w:lang w:val="en-US"/>
        </w:rPr>
        <w:t xml:space="preserve"> in table 4</w:t>
      </w:r>
      <w:r w:rsidRPr="00B20B70">
        <w:rPr>
          <w:color w:val="000000" w:themeColor="text1"/>
          <w:sz w:val="24"/>
          <w:szCs w:val="24"/>
        </w:rPr>
        <w:t xml:space="preserve">, </w:t>
      </w:r>
      <w:r w:rsidRPr="00B20B70">
        <w:rPr>
          <w:color w:val="000000" w:themeColor="text1"/>
          <w:sz w:val="24"/>
          <w:szCs w:val="24"/>
          <w:lang w:val="en-US"/>
        </w:rPr>
        <w:t>most</w:t>
      </w:r>
      <w:r w:rsidRPr="00B20B70">
        <w:rPr>
          <w:color w:val="000000" w:themeColor="text1"/>
          <w:sz w:val="24"/>
          <w:szCs w:val="24"/>
        </w:rPr>
        <w:t xml:space="preserve"> of the hoaxes contexts associated with Covid-19 were about health. This phenomenon was as expected. During a pandemic, people would seek health advice, information, and healthcare. The health-related context from the hoaxes were more than 60% (234). Though placed second, the context related to security measures (80, 22,3%) also indirectly related to health</w:t>
      </w:r>
      <w:r w:rsidRPr="00B20B70">
        <w:rPr>
          <w:color w:val="000000" w:themeColor="text1"/>
          <w:sz w:val="24"/>
          <w:szCs w:val="24"/>
          <w:lang w:val="en-US"/>
        </w:rPr>
        <w:t>.</w:t>
      </w:r>
    </w:p>
    <w:p w14:paraId="090FC4C6" w14:textId="52FBD2C3" w:rsidR="00667F63" w:rsidRPr="005D00CC" w:rsidRDefault="00667F63" w:rsidP="005D00CC">
      <w:pPr>
        <w:pStyle w:val="BodyText"/>
        <w:jc w:val="center"/>
        <w:rPr>
          <w:color w:val="000000" w:themeColor="text1"/>
          <w:sz w:val="24"/>
          <w:szCs w:val="24"/>
          <w:lang w:val="en-US"/>
        </w:rPr>
      </w:pPr>
      <w:r w:rsidRPr="00B20B70">
        <w:rPr>
          <w:color w:val="000000" w:themeColor="text1"/>
          <w:sz w:val="24"/>
          <w:szCs w:val="24"/>
        </w:rPr>
        <w:t>Table 4. Numbers of Disinformation Based on Context Category</w:t>
      </w:r>
      <w:r w:rsidR="005D00CC">
        <w:rPr>
          <w:color w:val="000000" w:themeColor="text1"/>
          <w:sz w:val="24"/>
          <w:szCs w:val="24"/>
          <w:lang w:val="en-US"/>
        </w:rPr>
        <w:t xml:space="preserve"> </w:t>
      </w:r>
      <w:r w:rsidR="005D00CC" w:rsidRPr="00B20B70">
        <w:rPr>
          <w:color w:val="000000" w:themeColor="text1"/>
          <w:sz w:val="24"/>
          <w:szCs w:val="24"/>
          <w:lang w:val="en-US"/>
        </w:rPr>
        <w:t xml:space="preserve">(Source: </w:t>
      </w:r>
      <w:r w:rsidR="005D00CC">
        <w:rPr>
          <w:color w:val="000000" w:themeColor="text1"/>
          <w:sz w:val="24"/>
          <w:szCs w:val="24"/>
          <w:lang w:val="en-US"/>
        </w:rPr>
        <w:t>Research Document</w:t>
      </w:r>
      <w:r w:rsidR="005D00CC" w:rsidRPr="00B20B70">
        <w:rPr>
          <w:color w:val="000000" w:themeColor="text1"/>
          <w:sz w:val="24"/>
          <w:szCs w:val="24"/>
          <w:lang w:val="en-US"/>
        </w:rPr>
        <w:t xml:space="preserve"> (2020))</w:t>
      </w:r>
    </w:p>
    <w:tbl>
      <w:tblPr>
        <w:tblW w:w="2686" w:type="pct"/>
        <w:tblInd w:w="1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67"/>
        <w:gridCol w:w="1843"/>
        <w:gridCol w:w="1276"/>
        <w:gridCol w:w="992"/>
      </w:tblGrid>
      <w:tr w:rsidR="00667F63" w:rsidRPr="00B20B70" w14:paraId="4A70EB8B" w14:textId="77777777" w:rsidTr="00667F63">
        <w:trPr>
          <w:trHeight w:val="82"/>
        </w:trPr>
        <w:tc>
          <w:tcPr>
            <w:tcW w:w="606" w:type="pct"/>
            <w:shd w:val="clear" w:color="auto" w:fill="auto"/>
            <w:tcMar>
              <w:top w:w="100" w:type="dxa"/>
              <w:left w:w="100" w:type="dxa"/>
              <w:bottom w:w="100" w:type="dxa"/>
              <w:right w:w="100" w:type="dxa"/>
            </w:tcMar>
            <w:vAlign w:val="center"/>
          </w:tcPr>
          <w:p w14:paraId="3CFC8492" w14:textId="77777777" w:rsidR="00667F63" w:rsidRPr="00B20B70" w:rsidRDefault="00667F63" w:rsidP="00B20B70">
            <w:pPr>
              <w:jc w:val="both"/>
              <w:rPr>
                <w:color w:val="000000" w:themeColor="text1"/>
                <w:sz w:val="24"/>
                <w:szCs w:val="24"/>
              </w:rPr>
            </w:pPr>
            <w:r w:rsidRPr="00B20B70">
              <w:rPr>
                <w:color w:val="000000" w:themeColor="text1"/>
                <w:sz w:val="24"/>
                <w:szCs w:val="24"/>
              </w:rPr>
              <w:t>No.</w:t>
            </w:r>
          </w:p>
        </w:tc>
        <w:tc>
          <w:tcPr>
            <w:tcW w:w="1970" w:type="pct"/>
            <w:shd w:val="clear" w:color="auto" w:fill="auto"/>
            <w:tcMar>
              <w:top w:w="100" w:type="dxa"/>
              <w:left w:w="100" w:type="dxa"/>
              <w:bottom w:w="100" w:type="dxa"/>
              <w:right w:w="100" w:type="dxa"/>
            </w:tcMar>
            <w:vAlign w:val="center"/>
          </w:tcPr>
          <w:p w14:paraId="3E76A80F" w14:textId="77777777" w:rsidR="00667F63" w:rsidRPr="00B20B70" w:rsidRDefault="00667F63" w:rsidP="00B20B70">
            <w:pPr>
              <w:jc w:val="both"/>
              <w:rPr>
                <w:color w:val="000000" w:themeColor="text1"/>
                <w:sz w:val="24"/>
                <w:szCs w:val="24"/>
              </w:rPr>
            </w:pPr>
            <w:r w:rsidRPr="00B20B70">
              <w:rPr>
                <w:color w:val="000000" w:themeColor="text1"/>
                <w:sz w:val="24"/>
                <w:szCs w:val="24"/>
              </w:rPr>
              <w:t>Code</w:t>
            </w:r>
          </w:p>
        </w:tc>
        <w:tc>
          <w:tcPr>
            <w:tcW w:w="1364" w:type="pct"/>
            <w:shd w:val="clear" w:color="auto" w:fill="auto"/>
            <w:tcMar>
              <w:top w:w="100" w:type="dxa"/>
              <w:left w:w="100" w:type="dxa"/>
              <w:bottom w:w="100" w:type="dxa"/>
              <w:right w:w="100" w:type="dxa"/>
            </w:tcMar>
            <w:vAlign w:val="center"/>
          </w:tcPr>
          <w:p w14:paraId="691A2B2D" w14:textId="77777777" w:rsidR="00667F63" w:rsidRPr="00B20B70" w:rsidRDefault="00667F63" w:rsidP="00B20B70">
            <w:pPr>
              <w:jc w:val="both"/>
              <w:rPr>
                <w:color w:val="000000" w:themeColor="text1"/>
                <w:sz w:val="24"/>
                <w:szCs w:val="24"/>
              </w:rPr>
            </w:pPr>
            <w:r w:rsidRPr="00B20B70">
              <w:rPr>
                <w:color w:val="000000" w:themeColor="text1"/>
                <w:sz w:val="24"/>
                <w:szCs w:val="24"/>
              </w:rPr>
              <w:t>Σn</w:t>
            </w:r>
          </w:p>
        </w:tc>
        <w:tc>
          <w:tcPr>
            <w:tcW w:w="1060" w:type="pct"/>
            <w:shd w:val="clear" w:color="auto" w:fill="auto"/>
            <w:tcMar>
              <w:top w:w="100" w:type="dxa"/>
              <w:left w:w="100" w:type="dxa"/>
              <w:bottom w:w="100" w:type="dxa"/>
              <w:right w:w="100" w:type="dxa"/>
            </w:tcMar>
            <w:vAlign w:val="center"/>
          </w:tcPr>
          <w:p w14:paraId="2BF7547C" w14:textId="77777777" w:rsidR="00667F63" w:rsidRPr="00B20B70" w:rsidRDefault="00667F63" w:rsidP="00B20B70">
            <w:pPr>
              <w:jc w:val="both"/>
              <w:rPr>
                <w:color w:val="000000" w:themeColor="text1"/>
                <w:sz w:val="24"/>
                <w:szCs w:val="24"/>
              </w:rPr>
            </w:pPr>
            <w:r w:rsidRPr="00B20B70">
              <w:rPr>
                <w:color w:val="000000" w:themeColor="text1"/>
                <w:sz w:val="24"/>
                <w:szCs w:val="24"/>
              </w:rPr>
              <w:t>%</w:t>
            </w:r>
          </w:p>
        </w:tc>
      </w:tr>
      <w:tr w:rsidR="00667F63" w:rsidRPr="00B20B70" w14:paraId="3C6FE854" w14:textId="77777777" w:rsidTr="00667F63">
        <w:trPr>
          <w:trHeight w:val="189"/>
        </w:trPr>
        <w:tc>
          <w:tcPr>
            <w:tcW w:w="606" w:type="pct"/>
            <w:shd w:val="clear" w:color="auto" w:fill="auto"/>
            <w:tcMar>
              <w:top w:w="100" w:type="dxa"/>
              <w:left w:w="100" w:type="dxa"/>
              <w:bottom w:w="100" w:type="dxa"/>
              <w:right w:w="100" w:type="dxa"/>
            </w:tcMar>
            <w:vAlign w:val="center"/>
          </w:tcPr>
          <w:p w14:paraId="69090CCF" w14:textId="77777777" w:rsidR="00667F63" w:rsidRPr="00B20B70" w:rsidRDefault="00667F63" w:rsidP="00B20B70">
            <w:pPr>
              <w:widowControl w:val="0"/>
              <w:numPr>
                <w:ilvl w:val="0"/>
                <w:numId w:val="30"/>
              </w:numPr>
              <w:ind w:left="405" w:right="-15" w:hanging="315"/>
              <w:jc w:val="both"/>
              <w:rPr>
                <w:color w:val="000000" w:themeColor="text1"/>
                <w:sz w:val="24"/>
                <w:szCs w:val="24"/>
              </w:rPr>
            </w:pPr>
          </w:p>
        </w:tc>
        <w:tc>
          <w:tcPr>
            <w:tcW w:w="1970" w:type="pct"/>
            <w:shd w:val="clear" w:color="auto" w:fill="auto"/>
            <w:tcMar>
              <w:top w:w="100" w:type="dxa"/>
              <w:left w:w="100" w:type="dxa"/>
              <w:bottom w:w="100" w:type="dxa"/>
              <w:right w:w="100" w:type="dxa"/>
            </w:tcMar>
            <w:vAlign w:val="center"/>
          </w:tcPr>
          <w:p w14:paraId="1B3D4ED2" w14:textId="77777777" w:rsidR="00667F63" w:rsidRPr="00B20B70" w:rsidRDefault="00667F63" w:rsidP="00B20B70">
            <w:pPr>
              <w:jc w:val="both"/>
              <w:rPr>
                <w:color w:val="000000" w:themeColor="text1"/>
                <w:sz w:val="24"/>
                <w:szCs w:val="24"/>
              </w:rPr>
            </w:pPr>
            <w:r w:rsidRPr="00B20B70">
              <w:rPr>
                <w:color w:val="000000" w:themeColor="text1"/>
                <w:sz w:val="24"/>
                <w:szCs w:val="24"/>
              </w:rPr>
              <w:t>Health (HEA)</w:t>
            </w:r>
          </w:p>
        </w:tc>
        <w:tc>
          <w:tcPr>
            <w:tcW w:w="1364" w:type="pct"/>
            <w:shd w:val="clear" w:color="auto" w:fill="auto"/>
            <w:tcMar>
              <w:top w:w="100" w:type="dxa"/>
              <w:left w:w="100" w:type="dxa"/>
              <w:bottom w:w="100" w:type="dxa"/>
              <w:right w:w="100" w:type="dxa"/>
            </w:tcMar>
            <w:vAlign w:val="center"/>
          </w:tcPr>
          <w:p w14:paraId="1A059E2A" w14:textId="77777777" w:rsidR="00667F63" w:rsidRPr="00B20B70" w:rsidRDefault="00667F63" w:rsidP="00B20B70">
            <w:pPr>
              <w:jc w:val="both"/>
              <w:rPr>
                <w:color w:val="000000" w:themeColor="text1"/>
                <w:sz w:val="24"/>
                <w:szCs w:val="24"/>
              </w:rPr>
            </w:pPr>
            <w:r w:rsidRPr="00B20B70">
              <w:rPr>
                <w:color w:val="000000" w:themeColor="text1"/>
                <w:sz w:val="24"/>
                <w:szCs w:val="24"/>
              </w:rPr>
              <w:t>234</w:t>
            </w:r>
          </w:p>
        </w:tc>
        <w:tc>
          <w:tcPr>
            <w:tcW w:w="1060" w:type="pct"/>
            <w:shd w:val="clear" w:color="auto" w:fill="auto"/>
            <w:tcMar>
              <w:top w:w="100" w:type="dxa"/>
              <w:left w:w="100" w:type="dxa"/>
              <w:bottom w:w="100" w:type="dxa"/>
              <w:right w:w="100" w:type="dxa"/>
            </w:tcMar>
            <w:vAlign w:val="center"/>
          </w:tcPr>
          <w:p w14:paraId="64917CDC" w14:textId="77777777" w:rsidR="00667F63" w:rsidRPr="00B20B70" w:rsidRDefault="00667F63" w:rsidP="00B20B70">
            <w:pPr>
              <w:jc w:val="both"/>
              <w:rPr>
                <w:color w:val="000000" w:themeColor="text1"/>
                <w:sz w:val="24"/>
                <w:szCs w:val="24"/>
              </w:rPr>
            </w:pPr>
            <w:r w:rsidRPr="00B20B70">
              <w:rPr>
                <w:color w:val="000000" w:themeColor="text1"/>
                <w:sz w:val="24"/>
                <w:szCs w:val="24"/>
              </w:rPr>
              <w:t>65.2</w:t>
            </w:r>
          </w:p>
        </w:tc>
      </w:tr>
      <w:tr w:rsidR="00667F63" w:rsidRPr="00B20B70" w14:paraId="15A45058" w14:textId="77777777" w:rsidTr="00667F63">
        <w:trPr>
          <w:trHeight w:val="449"/>
        </w:trPr>
        <w:tc>
          <w:tcPr>
            <w:tcW w:w="606" w:type="pct"/>
            <w:shd w:val="clear" w:color="auto" w:fill="auto"/>
            <w:tcMar>
              <w:top w:w="100" w:type="dxa"/>
              <w:left w:w="100" w:type="dxa"/>
              <w:bottom w:w="100" w:type="dxa"/>
              <w:right w:w="100" w:type="dxa"/>
            </w:tcMar>
            <w:vAlign w:val="center"/>
          </w:tcPr>
          <w:p w14:paraId="2C30A147" w14:textId="77777777" w:rsidR="00667F63" w:rsidRPr="00B20B70" w:rsidRDefault="00667F63" w:rsidP="00B20B70">
            <w:pPr>
              <w:widowControl w:val="0"/>
              <w:numPr>
                <w:ilvl w:val="0"/>
                <w:numId w:val="30"/>
              </w:numPr>
              <w:ind w:left="405" w:right="-15" w:hanging="315"/>
              <w:jc w:val="both"/>
              <w:rPr>
                <w:color w:val="000000" w:themeColor="text1"/>
                <w:sz w:val="24"/>
                <w:szCs w:val="24"/>
              </w:rPr>
            </w:pPr>
          </w:p>
        </w:tc>
        <w:tc>
          <w:tcPr>
            <w:tcW w:w="1970" w:type="pct"/>
            <w:shd w:val="clear" w:color="auto" w:fill="auto"/>
            <w:tcMar>
              <w:top w:w="100" w:type="dxa"/>
              <w:left w:w="100" w:type="dxa"/>
              <w:bottom w:w="100" w:type="dxa"/>
              <w:right w:w="100" w:type="dxa"/>
            </w:tcMar>
            <w:vAlign w:val="center"/>
          </w:tcPr>
          <w:p w14:paraId="60A7F490" w14:textId="3B5F3D5E" w:rsidR="00667F63" w:rsidRPr="00B20B70" w:rsidRDefault="00667F63" w:rsidP="00B20B70">
            <w:pPr>
              <w:jc w:val="both"/>
              <w:rPr>
                <w:color w:val="000000" w:themeColor="text1"/>
                <w:sz w:val="24"/>
                <w:szCs w:val="24"/>
              </w:rPr>
            </w:pPr>
            <w:r w:rsidRPr="00B20B70">
              <w:rPr>
                <w:color w:val="000000" w:themeColor="text1"/>
                <w:sz w:val="24"/>
                <w:szCs w:val="24"/>
              </w:rPr>
              <w:t>Security Measure (SEC)</w:t>
            </w:r>
          </w:p>
        </w:tc>
        <w:tc>
          <w:tcPr>
            <w:tcW w:w="1364" w:type="pct"/>
            <w:shd w:val="clear" w:color="auto" w:fill="auto"/>
            <w:tcMar>
              <w:top w:w="100" w:type="dxa"/>
              <w:left w:w="100" w:type="dxa"/>
              <w:bottom w:w="100" w:type="dxa"/>
              <w:right w:w="100" w:type="dxa"/>
            </w:tcMar>
            <w:vAlign w:val="center"/>
          </w:tcPr>
          <w:p w14:paraId="265E1500" w14:textId="77777777" w:rsidR="00667F63" w:rsidRPr="00B20B70" w:rsidRDefault="00667F63" w:rsidP="00B20B70">
            <w:pPr>
              <w:jc w:val="both"/>
              <w:rPr>
                <w:color w:val="000000" w:themeColor="text1"/>
                <w:sz w:val="24"/>
                <w:szCs w:val="24"/>
              </w:rPr>
            </w:pPr>
            <w:r w:rsidRPr="00B20B70">
              <w:rPr>
                <w:color w:val="000000" w:themeColor="text1"/>
                <w:sz w:val="24"/>
                <w:szCs w:val="24"/>
              </w:rPr>
              <w:t>80</w:t>
            </w:r>
          </w:p>
        </w:tc>
        <w:tc>
          <w:tcPr>
            <w:tcW w:w="1060" w:type="pct"/>
            <w:shd w:val="clear" w:color="auto" w:fill="auto"/>
            <w:tcMar>
              <w:top w:w="100" w:type="dxa"/>
              <w:left w:w="100" w:type="dxa"/>
              <w:bottom w:w="100" w:type="dxa"/>
              <w:right w:w="100" w:type="dxa"/>
            </w:tcMar>
            <w:vAlign w:val="center"/>
          </w:tcPr>
          <w:p w14:paraId="02586EEE" w14:textId="77777777" w:rsidR="00667F63" w:rsidRPr="00B20B70" w:rsidRDefault="00667F63" w:rsidP="00B20B70">
            <w:pPr>
              <w:jc w:val="both"/>
              <w:rPr>
                <w:color w:val="000000" w:themeColor="text1"/>
                <w:sz w:val="24"/>
                <w:szCs w:val="24"/>
              </w:rPr>
            </w:pPr>
            <w:r w:rsidRPr="00B20B70">
              <w:rPr>
                <w:color w:val="000000" w:themeColor="text1"/>
                <w:sz w:val="24"/>
                <w:szCs w:val="24"/>
              </w:rPr>
              <w:t>22.3</w:t>
            </w:r>
          </w:p>
        </w:tc>
      </w:tr>
      <w:tr w:rsidR="00667F63" w:rsidRPr="00B20B70" w14:paraId="72998D14" w14:textId="77777777" w:rsidTr="00667F63">
        <w:trPr>
          <w:trHeight w:val="204"/>
        </w:trPr>
        <w:tc>
          <w:tcPr>
            <w:tcW w:w="606" w:type="pct"/>
            <w:shd w:val="clear" w:color="auto" w:fill="auto"/>
            <w:tcMar>
              <w:top w:w="100" w:type="dxa"/>
              <w:left w:w="100" w:type="dxa"/>
              <w:bottom w:w="100" w:type="dxa"/>
              <w:right w:w="100" w:type="dxa"/>
            </w:tcMar>
            <w:vAlign w:val="center"/>
          </w:tcPr>
          <w:p w14:paraId="5BAAF611" w14:textId="77777777" w:rsidR="00667F63" w:rsidRPr="00B20B70" w:rsidRDefault="00667F63" w:rsidP="00B20B70">
            <w:pPr>
              <w:widowControl w:val="0"/>
              <w:numPr>
                <w:ilvl w:val="0"/>
                <w:numId w:val="30"/>
              </w:numPr>
              <w:pBdr>
                <w:top w:val="nil"/>
                <w:left w:val="nil"/>
                <w:bottom w:val="nil"/>
                <w:right w:val="nil"/>
                <w:between w:val="nil"/>
              </w:pBdr>
              <w:ind w:left="405" w:right="-15" w:hanging="315"/>
              <w:jc w:val="both"/>
              <w:rPr>
                <w:color w:val="000000" w:themeColor="text1"/>
                <w:sz w:val="24"/>
                <w:szCs w:val="24"/>
              </w:rPr>
            </w:pPr>
          </w:p>
        </w:tc>
        <w:tc>
          <w:tcPr>
            <w:tcW w:w="1970" w:type="pct"/>
            <w:shd w:val="clear" w:color="auto" w:fill="auto"/>
            <w:tcMar>
              <w:top w:w="100" w:type="dxa"/>
              <w:left w:w="100" w:type="dxa"/>
              <w:bottom w:w="100" w:type="dxa"/>
              <w:right w:w="100" w:type="dxa"/>
            </w:tcMar>
            <w:vAlign w:val="center"/>
          </w:tcPr>
          <w:p w14:paraId="48AEE090" w14:textId="77777777" w:rsidR="00667F63" w:rsidRPr="00B20B70" w:rsidRDefault="00667F63" w:rsidP="00B20B70">
            <w:pPr>
              <w:jc w:val="both"/>
              <w:rPr>
                <w:color w:val="000000" w:themeColor="text1"/>
                <w:sz w:val="24"/>
                <w:szCs w:val="24"/>
              </w:rPr>
            </w:pPr>
            <w:r w:rsidRPr="00B20B70">
              <w:rPr>
                <w:color w:val="000000" w:themeColor="text1"/>
                <w:sz w:val="24"/>
                <w:szCs w:val="24"/>
              </w:rPr>
              <w:t>Politics (POL)</w:t>
            </w:r>
          </w:p>
        </w:tc>
        <w:tc>
          <w:tcPr>
            <w:tcW w:w="1364" w:type="pct"/>
            <w:shd w:val="clear" w:color="auto" w:fill="auto"/>
            <w:tcMar>
              <w:top w:w="100" w:type="dxa"/>
              <w:left w:w="100" w:type="dxa"/>
              <w:bottom w:w="100" w:type="dxa"/>
              <w:right w:w="100" w:type="dxa"/>
            </w:tcMar>
            <w:vAlign w:val="center"/>
          </w:tcPr>
          <w:p w14:paraId="77E9CDD9" w14:textId="77777777" w:rsidR="00667F63" w:rsidRPr="00B20B70" w:rsidRDefault="00667F63" w:rsidP="00B20B70">
            <w:pPr>
              <w:jc w:val="both"/>
              <w:rPr>
                <w:color w:val="000000" w:themeColor="text1"/>
                <w:sz w:val="24"/>
                <w:szCs w:val="24"/>
              </w:rPr>
            </w:pPr>
            <w:r w:rsidRPr="00B20B70">
              <w:rPr>
                <w:color w:val="000000" w:themeColor="text1"/>
                <w:sz w:val="24"/>
                <w:szCs w:val="24"/>
              </w:rPr>
              <w:t>23</w:t>
            </w:r>
          </w:p>
        </w:tc>
        <w:tc>
          <w:tcPr>
            <w:tcW w:w="1060" w:type="pct"/>
            <w:shd w:val="clear" w:color="auto" w:fill="auto"/>
            <w:tcMar>
              <w:top w:w="100" w:type="dxa"/>
              <w:left w:w="100" w:type="dxa"/>
              <w:bottom w:w="100" w:type="dxa"/>
              <w:right w:w="100" w:type="dxa"/>
            </w:tcMar>
            <w:vAlign w:val="center"/>
          </w:tcPr>
          <w:p w14:paraId="5F8B005B" w14:textId="77777777" w:rsidR="00667F63" w:rsidRPr="00B20B70" w:rsidRDefault="00667F63" w:rsidP="00B20B70">
            <w:pPr>
              <w:jc w:val="both"/>
              <w:rPr>
                <w:color w:val="000000" w:themeColor="text1"/>
                <w:sz w:val="24"/>
                <w:szCs w:val="24"/>
              </w:rPr>
            </w:pPr>
            <w:r w:rsidRPr="00B20B70">
              <w:rPr>
                <w:color w:val="000000" w:themeColor="text1"/>
                <w:sz w:val="24"/>
                <w:szCs w:val="24"/>
              </w:rPr>
              <w:t>6.4</w:t>
            </w:r>
          </w:p>
        </w:tc>
      </w:tr>
      <w:tr w:rsidR="00667F63" w:rsidRPr="00B20B70" w14:paraId="14629235" w14:textId="77777777" w:rsidTr="00667F63">
        <w:trPr>
          <w:trHeight w:val="181"/>
        </w:trPr>
        <w:tc>
          <w:tcPr>
            <w:tcW w:w="606" w:type="pct"/>
            <w:shd w:val="clear" w:color="auto" w:fill="auto"/>
            <w:tcMar>
              <w:top w:w="100" w:type="dxa"/>
              <w:left w:w="100" w:type="dxa"/>
              <w:bottom w:w="100" w:type="dxa"/>
              <w:right w:w="100" w:type="dxa"/>
            </w:tcMar>
            <w:vAlign w:val="center"/>
          </w:tcPr>
          <w:p w14:paraId="07C6394C" w14:textId="77777777" w:rsidR="00667F63" w:rsidRPr="00B20B70" w:rsidRDefault="00667F63" w:rsidP="00B20B70">
            <w:pPr>
              <w:widowControl w:val="0"/>
              <w:numPr>
                <w:ilvl w:val="0"/>
                <w:numId w:val="30"/>
              </w:numPr>
              <w:ind w:left="405" w:right="-15" w:hanging="315"/>
              <w:jc w:val="both"/>
              <w:rPr>
                <w:color w:val="000000" w:themeColor="text1"/>
                <w:sz w:val="24"/>
                <w:szCs w:val="24"/>
              </w:rPr>
            </w:pPr>
          </w:p>
        </w:tc>
        <w:tc>
          <w:tcPr>
            <w:tcW w:w="1970" w:type="pct"/>
            <w:shd w:val="clear" w:color="auto" w:fill="auto"/>
            <w:tcMar>
              <w:top w:w="100" w:type="dxa"/>
              <w:left w:w="100" w:type="dxa"/>
              <w:bottom w:w="100" w:type="dxa"/>
              <w:right w:w="100" w:type="dxa"/>
            </w:tcMar>
            <w:vAlign w:val="center"/>
          </w:tcPr>
          <w:p w14:paraId="5A90C3FE" w14:textId="77777777" w:rsidR="00667F63" w:rsidRPr="00B20B70" w:rsidRDefault="00667F63" w:rsidP="00B20B70">
            <w:pPr>
              <w:jc w:val="both"/>
              <w:rPr>
                <w:color w:val="000000" w:themeColor="text1"/>
                <w:sz w:val="24"/>
                <w:szCs w:val="24"/>
              </w:rPr>
            </w:pPr>
            <w:r w:rsidRPr="00B20B70">
              <w:rPr>
                <w:color w:val="000000" w:themeColor="text1"/>
                <w:sz w:val="24"/>
                <w:szCs w:val="24"/>
              </w:rPr>
              <w:t>Racism (RAS)</w:t>
            </w:r>
          </w:p>
        </w:tc>
        <w:tc>
          <w:tcPr>
            <w:tcW w:w="1364" w:type="pct"/>
            <w:shd w:val="clear" w:color="auto" w:fill="auto"/>
            <w:tcMar>
              <w:top w:w="100" w:type="dxa"/>
              <w:left w:w="100" w:type="dxa"/>
              <w:bottom w:w="100" w:type="dxa"/>
              <w:right w:w="100" w:type="dxa"/>
            </w:tcMar>
            <w:vAlign w:val="center"/>
          </w:tcPr>
          <w:p w14:paraId="7EBBC7A1" w14:textId="77777777" w:rsidR="00667F63" w:rsidRPr="00B20B70" w:rsidRDefault="00667F63" w:rsidP="00B20B70">
            <w:pPr>
              <w:jc w:val="both"/>
              <w:rPr>
                <w:color w:val="000000" w:themeColor="text1"/>
                <w:sz w:val="24"/>
                <w:szCs w:val="24"/>
              </w:rPr>
            </w:pPr>
            <w:r w:rsidRPr="00B20B70">
              <w:rPr>
                <w:color w:val="000000" w:themeColor="text1"/>
                <w:sz w:val="24"/>
                <w:szCs w:val="24"/>
              </w:rPr>
              <w:t>22</w:t>
            </w:r>
          </w:p>
        </w:tc>
        <w:tc>
          <w:tcPr>
            <w:tcW w:w="1060" w:type="pct"/>
            <w:shd w:val="clear" w:color="auto" w:fill="auto"/>
            <w:tcMar>
              <w:top w:w="100" w:type="dxa"/>
              <w:left w:w="100" w:type="dxa"/>
              <w:bottom w:w="100" w:type="dxa"/>
              <w:right w:w="100" w:type="dxa"/>
            </w:tcMar>
            <w:vAlign w:val="center"/>
          </w:tcPr>
          <w:p w14:paraId="04E65BF6" w14:textId="77777777" w:rsidR="00667F63" w:rsidRPr="00B20B70" w:rsidRDefault="00667F63" w:rsidP="00B20B70">
            <w:pPr>
              <w:jc w:val="both"/>
              <w:rPr>
                <w:color w:val="000000" w:themeColor="text1"/>
                <w:sz w:val="24"/>
                <w:szCs w:val="24"/>
              </w:rPr>
            </w:pPr>
            <w:r w:rsidRPr="00B20B70">
              <w:rPr>
                <w:color w:val="000000" w:themeColor="text1"/>
                <w:sz w:val="24"/>
                <w:szCs w:val="24"/>
              </w:rPr>
              <w:t>6.1</w:t>
            </w:r>
          </w:p>
        </w:tc>
      </w:tr>
    </w:tbl>
    <w:p w14:paraId="27E866AD" w14:textId="77777777" w:rsidR="00667F63" w:rsidRPr="00B20B70" w:rsidRDefault="00667F63" w:rsidP="00B20B70">
      <w:pPr>
        <w:pStyle w:val="BodyText"/>
        <w:spacing w:before="11"/>
        <w:jc w:val="both"/>
        <w:rPr>
          <w:color w:val="000000" w:themeColor="text1"/>
          <w:sz w:val="24"/>
          <w:szCs w:val="24"/>
          <w:lang w:val="en-US"/>
        </w:rPr>
      </w:pPr>
    </w:p>
    <w:p w14:paraId="3C67A547" w14:textId="4D148969" w:rsidR="00667F63" w:rsidRPr="00B20B70" w:rsidRDefault="00667F63" w:rsidP="00B20B70">
      <w:pPr>
        <w:pStyle w:val="BodyText"/>
        <w:spacing w:before="11"/>
        <w:jc w:val="both"/>
        <w:rPr>
          <w:color w:val="000000" w:themeColor="text1"/>
          <w:sz w:val="24"/>
          <w:szCs w:val="24"/>
        </w:rPr>
      </w:pPr>
      <w:r w:rsidRPr="00B20B70">
        <w:rPr>
          <w:color w:val="000000" w:themeColor="text1"/>
          <w:sz w:val="24"/>
          <w:szCs w:val="24"/>
          <w:lang w:val="en-US"/>
        </w:rPr>
        <w:t xml:space="preserve">Referring to table 4, </w:t>
      </w:r>
      <w:r w:rsidRPr="00B20B70">
        <w:rPr>
          <w:color w:val="000000" w:themeColor="text1"/>
          <w:sz w:val="24"/>
          <w:szCs w:val="24"/>
        </w:rPr>
        <w:t>the hoaxes from HEA and SEC are as follows:</w:t>
      </w:r>
    </w:p>
    <w:p w14:paraId="790E032C" w14:textId="77777777" w:rsidR="005D00CC" w:rsidRDefault="005D00CC" w:rsidP="00B20B70">
      <w:pPr>
        <w:pStyle w:val="BodyText"/>
        <w:spacing w:before="11"/>
        <w:jc w:val="both"/>
        <w:rPr>
          <w:color w:val="000000" w:themeColor="text1"/>
          <w:sz w:val="24"/>
          <w:szCs w:val="24"/>
        </w:rPr>
      </w:pPr>
    </w:p>
    <w:p w14:paraId="6F3C65B7" w14:textId="21D164A0" w:rsidR="00667F63" w:rsidRPr="00B20B70" w:rsidRDefault="00667F63" w:rsidP="00B20B70">
      <w:pPr>
        <w:pStyle w:val="BodyText"/>
        <w:spacing w:before="11"/>
        <w:contextualSpacing/>
        <w:jc w:val="both"/>
        <w:rPr>
          <w:color w:val="000000" w:themeColor="text1"/>
          <w:sz w:val="24"/>
          <w:szCs w:val="24"/>
        </w:rPr>
      </w:pPr>
      <w:r w:rsidRPr="00B20B70">
        <w:rPr>
          <w:color w:val="000000" w:themeColor="text1"/>
          <w:sz w:val="24"/>
          <w:szCs w:val="24"/>
        </w:rPr>
        <w:lastRenderedPageBreak/>
        <w:t>Health-related</w:t>
      </w:r>
    </w:p>
    <w:p w14:paraId="293F75C2" w14:textId="77777777" w:rsidR="00B20B70" w:rsidRPr="00B20B70" w:rsidRDefault="00667F63" w:rsidP="00B20B70">
      <w:pPr>
        <w:pStyle w:val="BodyText"/>
        <w:numPr>
          <w:ilvl w:val="0"/>
          <w:numId w:val="45"/>
        </w:numPr>
        <w:contextualSpacing/>
        <w:jc w:val="both"/>
        <w:rPr>
          <w:color w:val="000000" w:themeColor="text1"/>
          <w:sz w:val="24"/>
          <w:szCs w:val="24"/>
          <w:lang w:val="en-US"/>
        </w:rPr>
      </w:pPr>
      <w:r w:rsidRPr="00B20B70">
        <w:rPr>
          <w:color w:val="000000" w:themeColor="text1"/>
          <w:sz w:val="24"/>
          <w:szCs w:val="24"/>
        </w:rPr>
        <w:t>There was a suspect symptomatic individual in Kraton Batang Regional hospital (223)</w:t>
      </w:r>
    </w:p>
    <w:p w14:paraId="15BFAD72" w14:textId="7A7825AC" w:rsidR="00B20B70" w:rsidRPr="00B20B70" w:rsidRDefault="00667F63" w:rsidP="00B20B70">
      <w:pPr>
        <w:pStyle w:val="BodyText"/>
        <w:numPr>
          <w:ilvl w:val="0"/>
          <w:numId w:val="45"/>
        </w:numPr>
        <w:contextualSpacing/>
        <w:jc w:val="both"/>
        <w:rPr>
          <w:color w:val="000000" w:themeColor="text1"/>
          <w:sz w:val="24"/>
          <w:szCs w:val="24"/>
          <w:lang w:val="en-US"/>
        </w:rPr>
      </w:pPr>
      <w:r w:rsidRPr="00B20B70">
        <w:rPr>
          <w:color w:val="000000" w:themeColor="text1"/>
          <w:sz w:val="24"/>
          <w:szCs w:val="24"/>
        </w:rPr>
        <w:t xml:space="preserve">Tom Hanks was confirmed dead after contracting </w:t>
      </w:r>
      <w:r w:rsidR="00B20B70" w:rsidRPr="00B20B70">
        <w:rPr>
          <w:color w:val="000000" w:themeColor="text1"/>
          <w:sz w:val="24"/>
          <w:szCs w:val="24"/>
        </w:rPr>
        <w:t xml:space="preserve">the </w:t>
      </w:r>
      <w:r w:rsidRPr="00B20B70">
        <w:rPr>
          <w:color w:val="000000" w:themeColor="text1"/>
          <w:sz w:val="24"/>
          <w:szCs w:val="24"/>
        </w:rPr>
        <w:t>Covid-19 virus (216)</w:t>
      </w:r>
    </w:p>
    <w:p w14:paraId="1B2AA0F1" w14:textId="77777777" w:rsidR="00B20B70" w:rsidRPr="00B20B70" w:rsidRDefault="00667F63" w:rsidP="00B20B70">
      <w:pPr>
        <w:pStyle w:val="BodyText"/>
        <w:numPr>
          <w:ilvl w:val="0"/>
          <w:numId w:val="45"/>
        </w:numPr>
        <w:contextualSpacing/>
        <w:jc w:val="both"/>
        <w:rPr>
          <w:color w:val="000000" w:themeColor="text1"/>
          <w:sz w:val="24"/>
          <w:szCs w:val="24"/>
          <w:lang w:val="en-US"/>
        </w:rPr>
      </w:pPr>
      <w:r w:rsidRPr="00B20B70">
        <w:rPr>
          <w:color w:val="000000" w:themeColor="text1"/>
          <w:sz w:val="24"/>
          <w:szCs w:val="24"/>
        </w:rPr>
        <w:t>Daniel Radcliff had contracted coronavirus (192)</w:t>
      </w:r>
    </w:p>
    <w:p w14:paraId="5249F63B" w14:textId="77777777" w:rsidR="00B20B70" w:rsidRPr="00B20B70" w:rsidRDefault="00667F63" w:rsidP="00B20B70">
      <w:pPr>
        <w:pStyle w:val="BodyText"/>
        <w:numPr>
          <w:ilvl w:val="0"/>
          <w:numId w:val="45"/>
        </w:numPr>
        <w:contextualSpacing/>
        <w:jc w:val="both"/>
        <w:rPr>
          <w:color w:val="000000" w:themeColor="text1"/>
          <w:sz w:val="24"/>
          <w:szCs w:val="24"/>
          <w:lang w:val="en-US"/>
        </w:rPr>
      </w:pPr>
      <w:r w:rsidRPr="00B20B70">
        <w:rPr>
          <w:color w:val="000000" w:themeColor="text1"/>
          <w:sz w:val="24"/>
          <w:szCs w:val="24"/>
        </w:rPr>
        <w:t>Coronavirus had been spreading in Jakarta because of pork consumption (175)</w:t>
      </w:r>
    </w:p>
    <w:p w14:paraId="08150B14" w14:textId="5E6E8DFC" w:rsidR="00667F63" w:rsidRPr="00B20B70" w:rsidRDefault="00667F63" w:rsidP="00B20B70">
      <w:pPr>
        <w:pStyle w:val="BodyText"/>
        <w:numPr>
          <w:ilvl w:val="0"/>
          <w:numId w:val="45"/>
        </w:numPr>
        <w:contextualSpacing/>
        <w:jc w:val="both"/>
        <w:rPr>
          <w:color w:val="000000" w:themeColor="text1"/>
          <w:sz w:val="24"/>
          <w:szCs w:val="24"/>
          <w:lang w:val="en-US"/>
        </w:rPr>
      </w:pPr>
      <w:r w:rsidRPr="00B20B70">
        <w:rPr>
          <w:color w:val="000000" w:themeColor="text1"/>
          <w:sz w:val="24"/>
          <w:szCs w:val="24"/>
        </w:rPr>
        <w:t>Wet tissue can replace your mask (155)</w:t>
      </w:r>
    </w:p>
    <w:p w14:paraId="2A56AAC6" w14:textId="307CFBD6" w:rsidR="00667F63" w:rsidRPr="00B20B70" w:rsidRDefault="00667F63" w:rsidP="00B20B70">
      <w:pPr>
        <w:pStyle w:val="BodyText"/>
        <w:spacing w:before="11"/>
        <w:contextualSpacing/>
        <w:jc w:val="both"/>
        <w:rPr>
          <w:color w:val="000000" w:themeColor="text1"/>
          <w:sz w:val="24"/>
          <w:szCs w:val="24"/>
        </w:rPr>
      </w:pPr>
      <w:r w:rsidRPr="00B20B70">
        <w:rPr>
          <w:color w:val="000000" w:themeColor="text1"/>
          <w:sz w:val="24"/>
          <w:szCs w:val="24"/>
        </w:rPr>
        <w:t>Security measures</w:t>
      </w:r>
    </w:p>
    <w:p w14:paraId="78E6C252" w14:textId="77777777" w:rsidR="00B20B70" w:rsidRPr="00B20B70" w:rsidRDefault="00667F63" w:rsidP="00B20B70">
      <w:pPr>
        <w:pStyle w:val="BodyText"/>
        <w:numPr>
          <w:ilvl w:val="0"/>
          <w:numId w:val="46"/>
        </w:numPr>
        <w:contextualSpacing/>
        <w:jc w:val="both"/>
        <w:rPr>
          <w:color w:val="000000" w:themeColor="text1"/>
          <w:sz w:val="24"/>
          <w:szCs w:val="24"/>
          <w:lang w:val="en-US"/>
        </w:rPr>
      </w:pPr>
      <w:r w:rsidRPr="00B20B70">
        <w:rPr>
          <w:color w:val="000000" w:themeColor="text1"/>
          <w:sz w:val="24"/>
          <w:szCs w:val="24"/>
        </w:rPr>
        <w:t>The closure of Gianyar road in Bali (350)</w:t>
      </w:r>
    </w:p>
    <w:p w14:paraId="674276F4" w14:textId="5A5879C3" w:rsidR="00B20B70" w:rsidRPr="00B20B70" w:rsidRDefault="00667F63" w:rsidP="00B20B70">
      <w:pPr>
        <w:pStyle w:val="BodyText"/>
        <w:numPr>
          <w:ilvl w:val="0"/>
          <w:numId w:val="46"/>
        </w:numPr>
        <w:contextualSpacing/>
        <w:jc w:val="both"/>
        <w:rPr>
          <w:color w:val="000000" w:themeColor="text1"/>
          <w:sz w:val="24"/>
          <w:szCs w:val="24"/>
          <w:lang w:val="en-US"/>
        </w:rPr>
      </w:pPr>
      <w:r w:rsidRPr="00B20B70">
        <w:rPr>
          <w:color w:val="000000" w:themeColor="text1"/>
          <w:sz w:val="24"/>
          <w:szCs w:val="24"/>
        </w:rPr>
        <w:t xml:space="preserve">Sukabumi region required </w:t>
      </w:r>
      <w:r w:rsidR="00B20B70" w:rsidRPr="00B20B70">
        <w:rPr>
          <w:color w:val="000000" w:themeColor="text1"/>
          <w:sz w:val="24"/>
          <w:szCs w:val="24"/>
        </w:rPr>
        <w:t xml:space="preserve">a </w:t>
      </w:r>
      <w:r w:rsidRPr="00B20B70">
        <w:rPr>
          <w:color w:val="000000" w:themeColor="text1"/>
          <w:sz w:val="24"/>
          <w:szCs w:val="24"/>
        </w:rPr>
        <w:t>letter of health notice to enter (344)</w:t>
      </w:r>
    </w:p>
    <w:p w14:paraId="1D6788B2" w14:textId="0F440CDA" w:rsidR="00B20B70" w:rsidRPr="00B20B70" w:rsidRDefault="00667F63" w:rsidP="00B20B70">
      <w:pPr>
        <w:pStyle w:val="BodyText"/>
        <w:numPr>
          <w:ilvl w:val="0"/>
          <w:numId w:val="46"/>
        </w:numPr>
        <w:contextualSpacing/>
        <w:jc w:val="both"/>
        <w:rPr>
          <w:color w:val="000000" w:themeColor="text1"/>
          <w:sz w:val="24"/>
          <w:szCs w:val="24"/>
          <w:lang w:val="en-US"/>
        </w:rPr>
      </w:pPr>
      <w:r w:rsidRPr="00B20B70">
        <w:rPr>
          <w:color w:val="000000" w:themeColor="text1"/>
          <w:sz w:val="24"/>
          <w:szCs w:val="24"/>
        </w:rPr>
        <w:t>The Pondok Indah Mall closure because one Covid suspect had entered it (333)</w:t>
      </w:r>
    </w:p>
    <w:p w14:paraId="62044F06" w14:textId="77777777" w:rsidR="00B20B70" w:rsidRPr="00B20B70" w:rsidRDefault="00667F63" w:rsidP="00B20B70">
      <w:pPr>
        <w:pStyle w:val="BodyText"/>
        <w:numPr>
          <w:ilvl w:val="0"/>
          <w:numId w:val="46"/>
        </w:numPr>
        <w:contextualSpacing/>
        <w:jc w:val="both"/>
        <w:rPr>
          <w:color w:val="000000" w:themeColor="text1"/>
          <w:sz w:val="24"/>
          <w:szCs w:val="24"/>
          <w:lang w:val="en-US"/>
        </w:rPr>
      </w:pPr>
      <w:r w:rsidRPr="00B20B70">
        <w:rPr>
          <w:color w:val="000000" w:themeColor="text1"/>
          <w:sz w:val="24"/>
          <w:szCs w:val="24"/>
        </w:rPr>
        <w:t>A market in Cianjur had to be closed because of Covid-19 (322)</w:t>
      </w:r>
    </w:p>
    <w:p w14:paraId="7A23BB9A" w14:textId="1BE602C0" w:rsidR="00667F63" w:rsidRPr="00B20B70" w:rsidRDefault="00667F63" w:rsidP="00B20B70">
      <w:pPr>
        <w:pStyle w:val="BodyText"/>
        <w:numPr>
          <w:ilvl w:val="0"/>
          <w:numId w:val="46"/>
        </w:numPr>
        <w:contextualSpacing/>
        <w:jc w:val="both"/>
        <w:rPr>
          <w:color w:val="000000" w:themeColor="text1"/>
          <w:sz w:val="24"/>
          <w:szCs w:val="24"/>
          <w:lang w:val="en-US"/>
        </w:rPr>
      </w:pPr>
      <w:r w:rsidRPr="00B20B70">
        <w:rPr>
          <w:color w:val="000000" w:themeColor="text1"/>
          <w:sz w:val="24"/>
          <w:szCs w:val="24"/>
        </w:rPr>
        <w:t>Closure and disinfecting in a market in Madiun East Java (286)</w:t>
      </w:r>
    </w:p>
    <w:p w14:paraId="47E0F570" w14:textId="77777777" w:rsidR="00667F63" w:rsidRPr="00B20B70" w:rsidRDefault="00667F63" w:rsidP="00B20B70">
      <w:pPr>
        <w:pStyle w:val="BodyText"/>
        <w:spacing w:before="11"/>
        <w:contextualSpacing/>
        <w:jc w:val="both"/>
        <w:rPr>
          <w:color w:val="000000" w:themeColor="text1"/>
          <w:sz w:val="24"/>
          <w:szCs w:val="24"/>
        </w:rPr>
      </w:pPr>
    </w:p>
    <w:p w14:paraId="4001EA13" w14:textId="2BE79BC7" w:rsidR="00667F63" w:rsidRDefault="00667F63" w:rsidP="00B20B70">
      <w:pPr>
        <w:pStyle w:val="BodyText"/>
        <w:spacing w:before="11"/>
        <w:jc w:val="both"/>
        <w:rPr>
          <w:sz w:val="24"/>
          <w:szCs w:val="24"/>
          <w:lang w:val="en-US"/>
        </w:rPr>
      </w:pPr>
      <w:r w:rsidRPr="00B20B70">
        <w:rPr>
          <w:sz w:val="24"/>
          <w:szCs w:val="24"/>
        </w:rPr>
        <w:t xml:space="preserve">Both health-related and security measure hoaxes eventually related to each other when someone </w:t>
      </w:r>
      <w:r w:rsidR="00B20B70" w:rsidRPr="00B20B70">
        <w:rPr>
          <w:sz w:val="24"/>
          <w:szCs w:val="24"/>
        </w:rPr>
        <w:t>h</w:t>
      </w:r>
      <w:r w:rsidRPr="00B20B70">
        <w:rPr>
          <w:sz w:val="24"/>
          <w:szCs w:val="24"/>
        </w:rPr>
        <w:t>as allegedly contracted Covid-19 while entering commercial venues. These places would soon be reported as having a closure or disinfection prevention by spraying disinfectant solution. While politically-laden and racis</w:t>
      </w:r>
      <w:r w:rsidR="00B20B70" w:rsidRPr="00B20B70">
        <w:rPr>
          <w:sz w:val="24"/>
          <w:szCs w:val="24"/>
        </w:rPr>
        <w:t>t</w:t>
      </w:r>
      <w:r w:rsidRPr="00B20B70">
        <w:rPr>
          <w:sz w:val="24"/>
          <w:szCs w:val="24"/>
        </w:rPr>
        <w:t xml:space="preserve"> rumors </w:t>
      </w:r>
      <w:r w:rsidR="00B20B70" w:rsidRPr="00B20B70">
        <w:rPr>
          <w:sz w:val="24"/>
          <w:szCs w:val="24"/>
        </w:rPr>
        <w:t>also had</w:t>
      </w:r>
      <w:r w:rsidRPr="00B20B70">
        <w:rPr>
          <w:sz w:val="24"/>
          <w:szCs w:val="24"/>
        </w:rPr>
        <w:t xml:space="preserve"> something frequently apparent. The </w:t>
      </w:r>
      <w:r w:rsidR="00B20B70" w:rsidRPr="00B20B70">
        <w:rPr>
          <w:sz w:val="24"/>
          <w:szCs w:val="24"/>
        </w:rPr>
        <w:t>POL and RAS hoaxes' finding</w:t>
      </w:r>
      <w:r w:rsidRPr="00B20B70">
        <w:rPr>
          <w:sz w:val="24"/>
          <w:szCs w:val="24"/>
        </w:rPr>
        <w:t>s related to; 1) government policy and action; 2) and Chinese ethnicity accusation. Some examples are as follows:</w:t>
      </w:r>
      <w:r w:rsidR="00B20B70" w:rsidRPr="00B20B70">
        <w:rPr>
          <w:sz w:val="24"/>
          <w:szCs w:val="24"/>
          <w:lang w:val="en-US"/>
        </w:rPr>
        <w:t xml:space="preserve"> </w:t>
      </w:r>
      <w:r w:rsidRPr="00B20B70">
        <w:rPr>
          <w:sz w:val="24"/>
          <w:szCs w:val="24"/>
        </w:rPr>
        <w:t>Prabowo has gone during the Coronavirus pandemic (309)</w:t>
      </w:r>
      <w:r w:rsidR="00B20B70" w:rsidRPr="00B20B70">
        <w:rPr>
          <w:sz w:val="24"/>
          <w:szCs w:val="24"/>
          <w:lang w:val="en-US"/>
        </w:rPr>
        <w:t xml:space="preserve">, the </w:t>
      </w:r>
      <w:r w:rsidRPr="00B20B70">
        <w:rPr>
          <w:sz w:val="24"/>
          <w:szCs w:val="24"/>
        </w:rPr>
        <w:t>Indonesian Ministry of Foreign Affairs announced a lock-down action (277)</w:t>
      </w:r>
      <w:r w:rsidR="00B20B70" w:rsidRPr="00B20B70">
        <w:rPr>
          <w:sz w:val="24"/>
          <w:szCs w:val="24"/>
          <w:lang w:val="en-US"/>
        </w:rPr>
        <w:t xml:space="preserve">, </w:t>
      </w:r>
      <w:r w:rsidRPr="00B20B70">
        <w:rPr>
          <w:sz w:val="24"/>
          <w:szCs w:val="24"/>
        </w:rPr>
        <w:t>The medicine that the President has purchased from China are dangerous (334)</w:t>
      </w:r>
      <w:r w:rsidR="00B20B70" w:rsidRPr="00B20B70">
        <w:rPr>
          <w:sz w:val="24"/>
          <w:szCs w:val="24"/>
          <w:lang w:val="en-US"/>
        </w:rPr>
        <w:t xml:space="preserve">, and </w:t>
      </w:r>
      <w:r w:rsidRPr="00B20B70">
        <w:rPr>
          <w:sz w:val="24"/>
          <w:szCs w:val="24"/>
        </w:rPr>
        <w:t>Chinese tourists have been freely entered and doing transit flight in Indonesia (173)</w:t>
      </w:r>
      <w:r w:rsidR="00B20B70" w:rsidRPr="00B20B70">
        <w:rPr>
          <w:sz w:val="24"/>
          <w:szCs w:val="24"/>
          <w:lang w:val="en-US"/>
        </w:rPr>
        <w:t>.</w:t>
      </w:r>
    </w:p>
    <w:p w14:paraId="6F4FE45A" w14:textId="68649E8C" w:rsidR="00B20B70" w:rsidRPr="00B20B70" w:rsidRDefault="00B20B70" w:rsidP="00B20B70">
      <w:pPr>
        <w:pStyle w:val="BodyText"/>
        <w:spacing w:before="11"/>
        <w:jc w:val="both"/>
        <w:rPr>
          <w:color w:val="000000" w:themeColor="text1"/>
          <w:sz w:val="24"/>
          <w:szCs w:val="24"/>
          <w:lang w:val="en-US"/>
        </w:rPr>
      </w:pPr>
      <w:r w:rsidRPr="00B20B70">
        <w:rPr>
          <w:color w:val="000000" w:themeColor="text1"/>
          <w:sz w:val="24"/>
          <w:szCs w:val="24"/>
        </w:rPr>
        <w:t xml:space="preserve">Further, the majority of local scope hoaxes usually suggested closedown or disinfection spraying activities.  The </w:t>
      </w:r>
      <w:r w:rsidR="005D00CC">
        <w:rPr>
          <w:color w:val="000000" w:themeColor="text1"/>
          <w:sz w:val="24"/>
          <w:szCs w:val="24"/>
        </w:rPr>
        <w:t>region</w:t>
      </w:r>
      <w:r w:rsidRPr="00B20B70">
        <w:rPr>
          <w:color w:val="000000" w:themeColor="text1"/>
          <w:sz w:val="24"/>
          <w:szCs w:val="24"/>
        </w:rPr>
        <w:t xml:space="preserve">al context rumors were 157 hoaxes or 43.7% among the 395 hoaxes. These local regions represented almost the entire Indonesian archipelago. </w:t>
      </w:r>
      <w:r>
        <w:rPr>
          <w:color w:val="000000" w:themeColor="text1"/>
          <w:sz w:val="24"/>
          <w:szCs w:val="24"/>
        </w:rPr>
        <w:t>F</w:t>
      </w:r>
      <w:r w:rsidRPr="00B20B70">
        <w:rPr>
          <w:color w:val="000000" w:themeColor="text1"/>
          <w:sz w:val="24"/>
          <w:szCs w:val="24"/>
        </w:rPr>
        <w:t>or international scope rumors ranging from countries like China, India, Italy, Singapore, Australia, etc</w:t>
      </w:r>
      <w:r>
        <w:rPr>
          <w:color w:val="000000" w:themeColor="text1"/>
          <w:sz w:val="24"/>
          <w:szCs w:val="24"/>
        </w:rPr>
        <w:t>.</w:t>
      </w:r>
      <w:r w:rsidRPr="00B20B70">
        <w:rPr>
          <w:color w:val="000000" w:themeColor="text1"/>
          <w:sz w:val="24"/>
          <w:szCs w:val="24"/>
        </w:rPr>
        <w:t xml:space="preserve"> (121, 33.7%). These countries usually have high reports on Covid-19 victims. Most of these international rumors have been contextualized linguistically to Bahasa Indonesia. </w:t>
      </w:r>
      <w:r>
        <w:rPr>
          <w:color w:val="000000" w:themeColor="text1"/>
          <w:sz w:val="24"/>
          <w:szCs w:val="24"/>
          <w:lang w:val="en-US"/>
        </w:rPr>
        <w:t xml:space="preserve">In </w:t>
      </w:r>
      <w:r w:rsidRPr="00B20B70">
        <w:rPr>
          <w:color w:val="000000" w:themeColor="text1"/>
          <w:sz w:val="24"/>
          <w:szCs w:val="24"/>
        </w:rPr>
        <w:t>other words, they have been translated. Finally</w:t>
      </w:r>
      <w:r>
        <w:rPr>
          <w:color w:val="000000" w:themeColor="text1"/>
          <w:sz w:val="24"/>
          <w:szCs w:val="24"/>
        </w:rPr>
        <w:t>,</w:t>
      </w:r>
      <w:r w:rsidRPr="00B20B70">
        <w:rPr>
          <w:color w:val="000000" w:themeColor="text1"/>
          <w:sz w:val="24"/>
          <w:szCs w:val="24"/>
        </w:rPr>
        <w:t xml:space="preserve"> in the third position, national-context hoaxes have also been circulating during the early stage of </w:t>
      </w:r>
      <w:r>
        <w:rPr>
          <w:color w:val="000000" w:themeColor="text1"/>
          <w:sz w:val="24"/>
          <w:szCs w:val="24"/>
        </w:rPr>
        <w:t xml:space="preserve">the </w:t>
      </w:r>
      <w:r w:rsidRPr="00B20B70">
        <w:rPr>
          <w:color w:val="000000" w:themeColor="text1"/>
          <w:sz w:val="24"/>
          <w:szCs w:val="24"/>
        </w:rPr>
        <w:t>Covid-19 pandemic in Indonesia (52, 14.5%).</w:t>
      </w:r>
      <w:r w:rsidRPr="00B20B70">
        <w:rPr>
          <w:color w:val="000000" w:themeColor="text1"/>
          <w:sz w:val="24"/>
          <w:szCs w:val="24"/>
          <w:lang w:val="en-US"/>
        </w:rPr>
        <w:t xml:space="preserve"> </w:t>
      </w:r>
    </w:p>
    <w:p w14:paraId="7896B269" w14:textId="77777777" w:rsidR="00B20B70" w:rsidRDefault="00B20B70" w:rsidP="00B20B70">
      <w:pPr>
        <w:pStyle w:val="BodyText"/>
        <w:jc w:val="both"/>
        <w:rPr>
          <w:color w:val="000000" w:themeColor="text1"/>
          <w:sz w:val="24"/>
          <w:szCs w:val="24"/>
          <w:lang w:val="en-US"/>
        </w:rPr>
      </w:pPr>
      <w:r>
        <w:rPr>
          <w:color w:val="000000" w:themeColor="text1"/>
          <w:sz w:val="24"/>
          <w:szCs w:val="24"/>
          <w:lang w:val="en-US"/>
        </w:rPr>
        <w:t>Based on content analysis, t</w:t>
      </w:r>
      <w:r w:rsidRPr="00B20B70">
        <w:rPr>
          <w:color w:val="000000" w:themeColor="text1"/>
          <w:sz w:val="24"/>
          <w:szCs w:val="24"/>
        </w:rPr>
        <w:t xml:space="preserve">here were two </w:t>
      </w:r>
      <w:r>
        <w:rPr>
          <w:color w:val="000000" w:themeColor="text1"/>
          <w:sz w:val="24"/>
          <w:szCs w:val="24"/>
        </w:rPr>
        <w:t>leading</w:t>
      </w:r>
      <w:r w:rsidRPr="00B20B70">
        <w:rPr>
          <w:color w:val="000000" w:themeColor="text1"/>
          <w:sz w:val="24"/>
          <w:szCs w:val="24"/>
        </w:rPr>
        <w:t xml:space="preserve"> platforms rumors about Covid-19 spread. The first was through Facebook (142, 39.6%) and slightly lower was through WhatsApp (122, 34%). Both platforms hold almost 70% of the rumors distribution. Other platforms that had been detected to spread these rumors were Twitter (48, 13.4%), Internet or online news portal (27, 7.5%), Instagram (10, 2.8%), and YouTube (10, 2.8).</w:t>
      </w:r>
      <w:r>
        <w:rPr>
          <w:color w:val="000000" w:themeColor="text1"/>
          <w:sz w:val="24"/>
          <w:szCs w:val="24"/>
          <w:lang w:val="en-US"/>
        </w:rPr>
        <w:t xml:space="preserve"> </w:t>
      </w:r>
    </w:p>
    <w:p w14:paraId="505BCB56" w14:textId="42449137" w:rsidR="00B20B70" w:rsidRPr="00B20B70" w:rsidRDefault="00B20B70" w:rsidP="00B20B70">
      <w:pPr>
        <w:pStyle w:val="BodyText"/>
        <w:jc w:val="both"/>
        <w:rPr>
          <w:color w:val="000000" w:themeColor="text1"/>
          <w:sz w:val="24"/>
          <w:szCs w:val="24"/>
        </w:rPr>
      </w:pPr>
      <w:r w:rsidRPr="00B20B70">
        <w:rPr>
          <w:color w:val="000000" w:themeColor="text1"/>
          <w:sz w:val="24"/>
          <w:szCs w:val="24"/>
          <w:lang w:val="en"/>
        </w:rPr>
        <w:t>Regarding the numbers of disinformation based on rumors, more than half were about dread (67.1%)</w:t>
      </w:r>
      <w:r>
        <w:rPr>
          <w:color w:val="000000" w:themeColor="text1"/>
          <w:sz w:val="24"/>
          <w:szCs w:val="24"/>
          <w:lang w:val="en"/>
        </w:rPr>
        <w:t xml:space="preserve"> a</w:t>
      </w:r>
      <w:r w:rsidRPr="00B20B70">
        <w:rPr>
          <w:color w:val="000000" w:themeColor="text1"/>
          <w:sz w:val="24"/>
          <w:szCs w:val="24"/>
          <w:lang w:val="en"/>
        </w:rPr>
        <w:t xml:space="preserve">s the report of hoaxes tracking from </w:t>
      </w:r>
      <w:r w:rsidR="005D00CC" w:rsidRPr="00B20B70">
        <w:rPr>
          <w:sz w:val="24"/>
          <w:szCs w:val="24"/>
        </w:rPr>
        <w:t>Hoax Issue Report in 2020</w:t>
      </w:r>
      <w:r w:rsidRPr="00B20B70">
        <w:rPr>
          <w:color w:val="000000" w:themeColor="text1"/>
          <w:sz w:val="24"/>
          <w:szCs w:val="24"/>
          <w:lang w:val="en"/>
        </w:rPr>
        <w:t xml:space="preserve"> used in this research was at the onset of </w:t>
      </w:r>
      <w:r>
        <w:rPr>
          <w:color w:val="000000" w:themeColor="text1"/>
          <w:sz w:val="24"/>
          <w:szCs w:val="24"/>
          <w:lang w:val="en"/>
        </w:rPr>
        <w:t xml:space="preserve">the </w:t>
      </w:r>
      <w:r w:rsidRPr="00B20B70">
        <w:rPr>
          <w:color w:val="000000" w:themeColor="text1"/>
          <w:sz w:val="24"/>
          <w:szCs w:val="24"/>
          <w:lang w:val="en"/>
        </w:rPr>
        <w:t xml:space="preserve">Covid-19 pandemic in Indonesia. Rumors conveying fear of Covid-19 contraction and even death were common </w:t>
      </w:r>
      <w:r>
        <w:rPr>
          <w:color w:val="000000" w:themeColor="text1"/>
          <w:sz w:val="24"/>
          <w:szCs w:val="24"/>
          <w:lang w:val="en"/>
        </w:rPr>
        <w:t>from</w:t>
      </w:r>
      <w:r w:rsidRPr="00B20B70">
        <w:rPr>
          <w:color w:val="000000" w:themeColor="text1"/>
          <w:sz w:val="24"/>
          <w:szCs w:val="24"/>
          <w:lang w:val="en"/>
        </w:rPr>
        <w:t xml:space="preserve"> January to the end of March 2020. These were the months in which Covid-19 had been globally spread. And during these months also, many countries had been conducting many securit</w:t>
      </w:r>
      <w:r>
        <w:rPr>
          <w:color w:val="000000" w:themeColor="text1"/>
          <w:sz w:val="24"/>
          <w:szCs w:val="24"/>
          <w:lang w:val="en"/>
        </w:rPr>
        <w:t>y</w:t>
      </w:r>
      <w:r w:rsidRPr="00B20B70">
        <w:rPr>
          <w:color w:val="000000" w:themeColor="text1"/>
          <w:sz w:val="24"/>
          <w:szCs w:val="24"/>
          <w:lang w:val="en"/>
        </w:rPr>
        <w:t xml:space="preserve"> measures to prevent Covid-19 infection. From the need to regulate social </w:t>
      </w:r>
      <w:r w:rsidRPr="00B20B70">
        <w:rPr>
          <w:color w:val="000000" w:themeColor="text1"/>
          <w:sz w:val="24"/>
          <w:szCs w:val="24"/>
          <w:lang w:val="en"/>
        </w:rPr>
        <w:lastRenderedPageBreak/>
        <w:t>distancing, washing hands, using sanitary hand spray to regional lock-down w</w:t>
      </w:r>
      <w:r>
        <w:rPr>
          <w:color w:val="000000" w:themeColor="text1"/>
          <w:sz w:val="24"/>
          <w:szCs w:val="24"/>
          <w:lang w:val="en"/>
        </w:rPr>
        <w:t>as</w:t>
      </w:r>
      <w:r w:rsidRPr="00B20B70">
        <w:rPr>
          <w:color w:val="000000" w:themeColor="text1"/>
          <w:sz w:val="24"/>
          <w:szCs w:val="24"/>
          <w:lang w:val="en"/>
        </w:rPr>
        <w:t xml:space="preserve"> apparent. These activities would have indicted the fear of Covid-19 infarction.</w:t>
      </w:r>
    </w:p>
    <w:p w14:paraId="39A6B8DB" w14:textId="193C97DB" w:rsidR="00B20B70" w:rsidRPr="00B20B70" w:rsidRDefault="00B20B70" w:rsidP="00B20B70">
      <w:pPr>
        <w:pStyle w:val="BodyText"/>
        <w:jc w:val="both"/>
        <w:rPr>
          <w:color w:val="000000" w:themeColor="text1"/>
          <w:sz w:val="24"/>
          <w:szCs w:val="24"/>
          <w:lang w:val="en"/>
        </w:rPr>
      </w:pPr>
      <w:r w:rsidRPr="00B20B70">
        <w:rPr>
          <w:color w:val="000000" w:themeColor="text1"/>
          <w:sz w:val="24"/>
          <w:szCs w:val="24"/>
          <w:lang w:val="en"/>
        </w:rPr>
        <w:t xml:space="preserve">Along with dread rumors, wishful (70, 19%) and wedge (48, 13.3%) rumors circulated in social media. Wishful rumors during the Covid-19 pandemic contained hope and dreams of remedial treatment and alternative medicine. While wedge rumors provoked or incite hate toward political preferences, religious belief, ethnicity, or character assassination. So those people who received this wedge rumor could feel angry or hate toward the person or things implied. Though both </w:t>
      </w:r>
      <w:r w:rsidR="00031383">
        <w:rPr>
          <w:color w:val="000000" w:themeColor="text1"/>
          <w:sz w:val="24"/>
          <w:szCs w:val="24"/>
          <w:lang w:val="en"/>
        </w:rPr>
        <w:t>rumors</w:t>
      </w:r>
      <w:r w:rsidRPr="00B20B70">
        <w:rPr>
          <w:color w:val="000000" w:themeColor="text1"/>
          <w:sz w:val="24"/>
          <w:szCs w:val="24"/>
          <w:lang w:val="en"/>
        </w:rPr>
        <w:t xml:space="preserve">s numbers were indistinct to dread rumors, either </w:t>
      </w:r>
      <w:r w:rsidR="00031383">
        <w:rPr>
          <w:color w:val="000000" w:themeColor="text1"/>
          <w:sz w:val="24"/>
          <w:szCs w:val="24"/>
          <w:lang w:val="en"/>
        </w:rPr>
        <w:t>rumors</w:t>
      </w:r>
      <w:r w:rsidRPr="00B20B70">
        <w:rPr>
          <w:color w:val="000000" w:themeColor="text1"/>
          <w:sz w:val="24"/>
          <w:szCs w:val="24"/>
          <w:lang w:val="en"/>
        </w:rPr>
        <w:t xml:space="preserve"> were circulating to the shroud, even more, the toxic information ecosystem during Covid-19 pandemic.</w:t>
      </w:r>
    </w:p>
    <w:p w14:paraId="6FD9D6D2" w14:textId="473BD8FD" w:rsidR="00B20B70" w:rsidRDefault="00B20B70" w:rsidP="00B20B70">
      <w:pPr>
        <w:pStyle w:val="BodyText"/>
        <w:jc w:val="both"/>
        <w:rPr>
          <w:color w:val="000000" w:themeColor="text1"/>
          <w:lang w:val="en"/>
        </w:rPr>
      </w:pPr>
      <w:r>
        <w:rPr>
          <w:color w:val="000000" w:themeColor="text1"/>
          <w:lang w:val="en"/>
        </w:rPr>
        <w:t xml:space="preserve"> </w:t>
      </w:r>
      <w:r w:rsidRPr="00DD01A5">
        <w:rPr>
          <w:noProof/>
          <w:color w:val="000000" w:themeColor="text1"/>
        </w:rPr>
        <w:drawing>
          <wp:inline distT="0" distB="0" distL="0" distR="0" wp14:anchorId="1B047466" wp14:editId="6D8A0B9E">
            <wp:extent cx="5403215" cy="2819233"/>
            <wp:effectExtent l="0" t="0" r="0" b="0"/>
            <wp:docPr id="20"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403215" cy="2819233"/>
                    </a:xfrm>
                    <a:prstGeom prst="rect">
                      <a:avLst/>
                    </a:prstGeom>
                    <a:ln/>
                  </pic:spPr>
                </pic:pic>
              </a:graphicData>
            </a:graphic>
          </wp:inline>
        </w:drawing>
      </w:r>
    </w:p>
    <w:p w14:paraId="5E002CC3" w14:textId="1C9E9024" w:rsidR="00B20B70" w:rsidRPr="00B20B70" w:rsidRDefault="00B20B70" w:rsidP="00B20B70">
      <w:pPr>
        <w:pStyle w:val="BodyText"/>
        <w:jc w:val="center"/>
        <w:rPr>
          <w:color w:val="000000" w:themeColor="text1"/>
          <w:sz w:val="24"/>
          <w:szCs w:val="24"/>
          <w:lang w:val="en-US"/>
        </w:rPr>
      </w:pPr>
      <w:r>
        <w:rPr>
          <w:color w:val="000000" w:themeColor="text1"/>
          <w:sz w:val="24"/>
          <w:szCs w:val="24"/>
          <w:lang w:val="en-US"/>
        </w:rPr>
        <w:t>Figure 1. Mapping of Hoaxes (Source: Private Document, 2020)</w:t>
      </w:r>
    </w:p>
    <w:p w14:paraId="00C09B16" w14:textId="5989BB42" w:rsidR="005D00CC" w:rsidRPr="005D00CC" w:rsidRDefault="005D00CC" w:rsidP="005D00CC">
      <w:pPr>
        <w:pStyle w:val="BodyText"/>
        <w:jc w:val="both"/>
        <w:rPr>
          <w:color w:val="000000" w:themeColor="text1"/>
          <w:sz w:val="24"/>
          <w:szCs w:val="24"/>
          <w:lang w:val="en"/>
        </w:rPr>
      </w:pPr>
      <w:r w:rsidRPr="005D00CC">
        <w:rPr>
          <w:color w:val="000000" w:themeColor="text1"/>
          <w:sz w:val="24"/>
          <w:szCs w:val="24"/>
          <w:lang w:val="en"/>
        </w:rPr>
        <w:t xml:space="preserve">Figure </w:t>
      </w:r>
      <w:proofErr w:type="gramStart"/>
      <w:r w:rsidRPr="005D00CC">
        <w:rPr>
          <w:color w:val="000000" w:themeColor="text1"/>
          <w:sz w:val="24"/>
          <w:szCs w:val="24"/>
          <w:lang w:val="en"/>
        </w:rPr>
        <w:t>1.shows</w:t>
      </w:r>
      <w:proofErr w:type="gramEnd"/>
      <w:r w:rsidRPr="005D00CC">
        <w:rPr>
          <w:color w:val="000000" w:themeColor="text1"/>
          <w:sz w:val="24"/>
          <w:szCs w:val="24"/>
          <w:lang w:val="en"/>
        </w:rPr>
        <w:t xml:space="preserve"> 359 Covid-19 pandemic hoaxes in Indonesia from January to the end of March 2020 in each category. This mapping can convey the number of hoaxes for each category and sub-category during the three months of observation. The researchers concluded mapping hoax data during the Covid-19 pandemic in Indonesia because the most common hoaxes from the analysis from January to the end of March 2020 were about health issues targeting fear-mongering and implying the general public in local areas with Facebook</w:t>
      </w:r>
      <w:r>
        <w:rPr>
          <w:color w:val="000000" w:themeColor="text1"/>
          <w:sz w:val="24"/>
          <w:szCs w:val="24"/>
          <w:lang w:val="en"/>
        </w:rPr>
        <w:t xml:space="preserve"> </w:t>
      </w:r>
      <w:r w:rsidRPr="005D00CC">
        <w:rPr>
          <w:color w:val="000000" w:themeColor="text1"/>
          <w:sz w:val="24"/>
          <w:szCs w:val="24"/>
          <w:lang w:val="en"/>
        </w:rPr>
        <w:t>and WhatsApp as a distribution platform. The second most common hoax of the analysis is alternative medicine and treatment for Covid-19 by implementing global and national security action activities regulated and influenced by key figures from the information distributed through various platforms. The least that can pose a potential danger are hoaxes that incite hatred and sentiment against political preferences, ethnicity and religious beliefs that threaten harmony at the regional level through various social media platforms.</w:t>
      </w:r>
    </w:p>
    <w:p w14:paraId="780A41CD" w14:textId="6BCD47CA" w:rsidR="005D00CC" w:rsidRPr="005D00CC" w:rsidRDefault="005D00CC" w:rsidP="005D00CC">
      <w:pPr>
        <w:pStyle w:val="BodyText"/>
        <w:ind w:firstLine="720"/>
        <w:jc w:val="both"/>
        <w:rPr>
          <w:color w:val="000000" w:themeColor="text1"/>
          <w:sz w:val="24"/>
          <w:szCs w:val="24"/>
          <w:lang w:val="en"/>
        </w:rPr>
      </w:pPr>
      <w:r w:rsidRPr="005D00CC">
        <w:rPr>
          <w:color w:val="000000" w:themeColor="text1"/>
          <w:sz w:val="24"/>
          <w:szCs w:val="24"/>
          <w:lang w:val="en"/>
        </w:rPr>
        <w:t>Th</w:t>
      </w:r>
      <w:r>
        <w:rPr>
          <w:color w:val="000000" w:themeColor="text1"/>
          <w:sz w:val="24"/>
          <w:szCs w:val="24"/>
          <w:lang w:val="en"/>
        </w:rPr>
        <w:t>is study's number of hoaxes</w:t>
      </w:r>
      <w:r w:rsidRPr="005D00CC">
        <w:rPr>
          <w:color w:val="000000" w:themeColor="text1"/>
          <w:sz w:val="24"/>
          <w:szCs w:val="24"/>
          <w:lang w:val="en"/>
        </w:rPr>
        <w:t xml:space="preserve"> cannot describe </w:t>
      </w:r>
      <w:r>
        <w:rPr>
          <w:color w:val="000000" w:themeColor="text1"/>
          <w:sz w:val="24"/>
          <w:szCs w:val="24"/>
          <w:lang w:val="en"/>
        </w:rPr>
        <w:t>hoaxes' impact</w:t>
      </w:r>
      <w:r w:rsidRPr="005D00CC">
        <w:rPr>
          <w:color w:val="000000" w:themeColor="text1"/>
          <w:sz w:val="24"/>
          <w:szCs w:val="24"/>
          <w:lang w:val="en"/>
        </w:rPr>
        <w:t xml:space="preserve"> during the on</w:t>
      </w:r>
      <w:r>
        <w:rPr>
          <w:color w:val="000000" w:themeColor="text1"/>
          <w:sz w:val="24"/>
          <w:szCs w:val="24"/>
          <w:lang w:val="en"/>
        </w:rPr>
        <w:t>-</w:t>
      </w:r>
      <w:r w:rsidRPr="005D00CC">
        <w:rPr>
          <w:color w:val="000000" w:themeColor="text1"/>
          <w:sz w:val="24"/>
          <w:szCs w:val="24"/>
          <w:lang w:val="en"/>
        </w:rPr>
        <w:t>going pandemic in Indonesia. However, these numbers can give a glimpse into a situation where rumors or hoaxes are intoxicating the public social media timeline. So, th</w:t>
      </w:r>
      <w:r>
        <w:rPr>
          <w:color w:val="000000" w:themeColor="text1"/>
          <w:sz w:val="24"/>
          <w:szCs w:val="24"/>
          <w:lang w:val="en"/>
        </w:rPr>
        <w:t>is study's results</w:t>
      </w:r>
      <w:r w:rsidRPr="005D00CC">
        <w:rPr>
          <w:color w:val="000000" w:themeColor="text1"/>
          <w:sz w:val="24"/>
          <w:szCs w:val="24"/>
          <w:lang w:val="en"/>
        </w:rPr>
        <w:t xml:space="preserve"> are in line with Freelon (2020) that one of the potentials is to spread disinformation through social media.</w:t>
      </w:r>
    </w:p>
    <w:p w14:paraId="7C7E5AEF" w14:textId="77777777" w:rsidR="005D00CC" w:rsidRDefault="005D00CC" w:rsidP="005D00CC">
      <w:pPr>
        <w:pStyle w:val="BodyText"/>
        <w:jc w:val="both"/>
        <w:rPr>
          <w:color w:val="000000" w:themeColor="text1"/>
          <w:sz w:val="24"/>
          <w:szCs w:val="24"/>
          <w:lang w:val="en"/>
        </w:rPr>
      </w:pPr>
      <w:r w:rsidRPr="005D00CC">
        <w:rPr>
          <w:color w:val="000000" w:themeColor="text1"/>
          <w:sz w:val="24"/>
          <w:szCs w:val="24"/>
          <w:lang w:val="en"/>
        </w:rPr>
        <w:lastRenderedPageBreak/>
        <w:t xml:space="preserve">Rumors that spread fear and uncertainty circulated massively, especially among the surrounding communities. This research also occurred </w:t>
      </w:r>
      <w:r>
        <w:rPr>
          <w:color w:val="000000" w:themeColor="text1"/>
          <w:sz w:val="24"/>
          <w:szCs w:val="24"/>
          <w:lang w:val="en"/>
        </w:rPr>
        <w:t>in Indonesia and</w:t>
      </w:r>
      <w:r w:rsidRPr="005D00CC">
        <w:rPr>
          <w:color w:val="000000" w:themeColor="text1"/>
          <w:sz w:val="24"/>
          <w:szCs w:val="24"/>
          <w:lang w:val="en"/>
        </w:rPr>
        <w:t xml:space="preserve"> China and Russia, namely the spread of rumors online (Pulford, 2019). Social media platforms like Facebook and Twitter or group chat apps like WhatsApp contribute to </w:t>
      </w:r>
      <w:r>
        <w:rPr>
          <w:color w:val="000000" w:themeColor="text1"/>
          <w:sz w:val="24"/>
          <w:szCs w:val="24"/>
          <w:lang w:val="en"/>
        </w:rPr>
        <w:t>scams' constant danger</w:t>
      </w:r>
      <w:r w:rsidRPr="005D00CC">
        <w:rPr>
          <w:color w:val="000000" w:themeColor="text1"/>
          <w:sz w:val="24"/>
          <w:szCs w:val="24"/>
          <w:lang w:val="en"/>
        </w:rPr>
        <w:t>. The need to educate people with digital and media literacy is imperative. Lack of skills checks can lead to the way people recognize and distribute. Failure to understand information can also be the cause. Lack of critical thinking in education also tends to contribute to a lack of identification of information. During the Covid-19 pandemic, this phenomenon w</w:t>
      </w:r>
      <w:r>
        <w:rPr>
          <w:color w:val="000000" w:themeColor="text1"/>
          <w:sz w:val="24"/>
          <w:szCs w:val="24"/>
          <w:lang w:val="en"/>
        </w:rPr>
        <w:t>orsened</w:t>
      </w:r>
      <w:r w:rsidRPr="005D00CC">
        <w:rPr>
          <w:color w:val="000000" w:themeColor="text1"/>
          <w:sz w:val="24"/>
          <w:szCs w:val="24"/>
          <w:lang w:val="en"/>
        </w:rPr>
        <w:t>, while the government and journalists were still struggling to verify and distribute reliable health information.</w:t>
      </w:r>
    </w:p>
    <w:p w14:paraId="153C78C4" w14:textId="06DA8114" w:rsidR="005D00CC" w:rsidRDefault="005D00CC" w:rsidP="005D00CC">
      <w:pPr>
        <w:pStyle w:val="BodyText"/>
        <w:ind w:firstLine="720"/>
        <w:jc w:val="both"/>
        <w:rPr>
          <w:color w:val="000000" w:themeColor="text1"/>
          <w:sz w:val="24"/>
          <w:szCs w:val="24"/>
          <w:lang w:val="en"/>
        </w:rPr>
      </w:pPr>
      <w:r w:rsidRPr="005D00CC">
        <w:rPr>
          <w:color w:val="000000" w:themeColor="text1"/>
          <w:sz w:val="24"/>
          <w:szCs w:val="24"/>
          <w:lang w:val="en"/>
        </w:rPr>
        <w:t xml:space="preserve">In addition, hoaxes related to Covid-19 do not only damage the timeline of public social media. They have also crept into people's minds with fear. </w:t>
      </w:r>
      <w:r>
        <w:rPr>
          <w:color w:val="000000" w:themeColor="text1"/>
          <w:sz w:val="24"/>
          <w:szCs w:val="24"/>
          <w:lang w:val="en"/>
        </w:rPr>
        <w:t>It</w:t>
      </w:r>
      <w:r w:rsidRPr="005D00CC">
        <w:rPr>
          <w:color w:val="000000" w:themeColor="text1"/>
          <w:sz w:val="24"/>
          <w:szCs w:val="24"/>
          <w:lang w:val="en"/>
        </w:rPr>
        <w:t xml:space="preserve"> is in line with the res</w:t>
      </w:r>
      <w:r>
        <w:rPr>
          <w:color w:val="000000" w:themeColor="text1"/>
          <w:sz w:val="24"/>
          <w:szCs w:val="24"/>
          <w:lang w:val="en"/>
        </w:rPr>
        <w:t>earch results</w:t>
      </w:r>
      <w:r w:rsidRPr="005D00CC">
        <w:rPr>
          <w:color w:val="000000" w:themeColor="text1"/>
          <w:sz w:val="24"/>
          <w:szCs w:val="24"/>
          <w:lang w:val="en"/>
        </w:rPr>
        <w:t xml:space="preserve"> from Viswanath, Lee, and Pinnamaneni (2020) that disinformation amid the Covid-19 pandemic can cause public distrust of the government, media, and even information about each other from various sources distributed on social media facilitated by users. Generated Contents. Meanwhile</w:t>
      </w:r>
      <w:r>
        <w:rPr>
          <w:color w:val="000000" w:themeColor="text1"/>
          <w:sz w:val="24"/>
          <w:szCs w:val="24"/>
          <w:lang w:val="en"/>
        </w:rPr>
        <w:t>,</w:t>
      </w:r>
      <w:r w:rsidRPr="005D00CC">
        <w:rPr>
          <w:color w:val="000000" w:themeColor="text1"/>
          <w:sz w:val="24"/>
          <w:szCs w:val="24"/>
          <w:lang w:val="en"/>
        </w:rPr>
        <w:t xml:space="preserve"> the government and media also broadcast their version of Covid-19 information</w:t>
      </w:r>
      <w:r>
        <w:rPr>
          <w:color w:val="000000" w:themeColor="text1"/>
          <w:sz w:val="24"/>
          <w:szCs w:val="24"/>
          <w:lang w:val="en"/>
        </w:rPr>
        <w:t>, a</w:t>
      </w:r>
      <w:r w:rsidRPr="005D00CC">
        <w:rPr>
          <w:color w:val="000000" w:themeColor="text1"/>
          <w:sz w:val="24"/>
          <w:szCs w:val="24"/>
          <w:lang w:val="en"/>
        </w:rPr>
        <w:t>s Allport and Portman (1946) in Pulford (2019) illustrate, rumors spread in large numbers when data is widely distributed. They show how rumors about the Pearl Harbor attack developed rapidly after the newspaper published the tragedy.</w:t>
      </w:r>
    </w:p>
    <w:p w14:paraId="393388B1" w14:textId="3E52BAF1" w:rsidR="00667F63" w:rsidRPr="005D00CC" w:rsidRDefault="005D00CC" w:rsidP="005D00CC">
      <w:pPr>
        <w:pStyle w:val="BodyText"/>
        <w:ind w:firstLine="720"/>
        <w:jc w:val="both"/>
        <w:rPr>
          <w:color w:val="000000" w:themeColor="text1"/>
          <w:sz w:val="24"/>
          <w:szCs w:val="24"/>
          <w:lang w:val="en"/>
        </w:rPr>
      </w:pPr>
      <w:r w:rsidRPr="005D00CC">
        <w:rPr>
          <w:color w:val="000000" w:themeColor="text1"/>
          <w:sz w:val="24"/>
          <w:szCs w:val="24"/>
          <w:lang w:val="en"/>
        </w:rPr>
        <w:t xml:space="preserve">The fears implicit in the Covid-19 disinformation have projected people's emotional state because Allport and Portman pointed out that when people have less information about their environment, they fail to objectively and impartially understand any information. The misleading information on Covid-19 also shows this projection. People who fear that their lives will contract the coronavirus will fall easy prey to disinformation. During a pandemic, emergencies, while disinformation exacerbates the situation, have a </w:t>
      </w:r>
      <w:r>
        <w:rPr>
          <w:color w:val="000000" w:themeColor="text1"/>
          <w:sz w:val="24"/>
          <w:szCs w:val="24"/>
          <w:lang w:val="en"/>
        </w:rPr>
        <w:t>more significant</w:t>
      </w:r>
      <w:r w:rsidRPr="005D00CC">
        <w:rPr>
          <w:color w:val="000000" w:themeColor="text1"/>
          <w:sz w:val="24"/>
          <w:szCs w:val="24"/>
          <w:lang w:val="en"/>
        </w:rPr>
        <w:t xml:space="preserve"> impact on society. The repercussions can include fear of the local situation, government regulations, and mistaken belief in alternative medicine and medicine</w:t>
      </w:r>
      <w:r w:rsidR="00B20B70" w:rsidRPr="00B20B70">
        <w:rPr>
          <w:color w:val="000000" w:themeColor="text1"/>
          <w:sz w:val="24"/>
          <w:szCs w:val="24"/>
        </w:rPr>
        <w:t>.</w:t>
      </w:r>
    </w:p>
    <w:p w14:paraId="0CB14D55" w14:textId="77777777" w:rsidR="0007648E" w:rsidRPr="00B20B70" w:rsidRDefault="0007648E" w:rsidP="00FE2FC4">
      <w:pPr>
        <w:pStyle w:val="Default"/>
        <w:ind w:firstLine="567"/>
        <w:jc w:val="both"/>
        <w:rPr>
          <w:rFonts w:cs="Times New Roman"/>
          <w:lang w:val="id-ID"/>
        </w:rPr>
      </w:pPr>
    </w:p>
    <w:p w14:paraId="08F063D0" w14:textId="77777777" w:rsidR="00FE2FC4" w:rsidRPr="00B20B70" w:rsidRDefault="00FE2FC4" w:rsidP="00822510">
      <w:pPr>
        <w:jc w:val="both"/>
        <w:rPr>
          <w:b/>
          <w:color w:val="000000" w:themeColor="text1"/>
          <w:sz w:val="24"/>
          <w:szCs w:val="24"/>
        </w:rPr>
      </w:pPr>
      <w:r w:rsidRPr="00B20B70">
        <w:rPr>
          <w:b/>
          <w:color w:val="000000" w:themeColor="text1"/>
          <w:sz w:val="24"/>
          <w:szCs w:val="24"/>
        </w:rPr>
        <w:t>Conclusion</w:t>
      </w:r>
    </w:p>
    <w:p w14:paraId="59E9D86A" w14:textId="68144E19" w:rsidR="00BE7860" w:rsidRPr="005D00CC" w:rsidRDefault="005D00CC" w:rsidP="005D00CC">
      <w:pPr>
        <w:pStyle w:val="BodyText"/>
        <w:ind w:firstLine="567"/>
        <w:jc w:val="both"/>
        <w:rPr>
          <w:color w:val="000000" w:themeColor="text1"/>
          <w:sz w:val="24"/>
          <w:szCs w:val="24"/>
          <w:lang w:val="en"/>
        </w:rPr>
      </w:pPr>
      <w:r w:rsidRPr="005D00CC">
        <w:rPr>
          <w:color w:val="000000" w:themeColor="text1"/>
          <w:sz w:val="24"/>
          <w:szCs w:val="24"/>
          <w:lang w:val="en"/>
        </w:rPr>
        <w:t xml:space="preserve">This research has shown the demographics of disinformation during Covid-19 in Indonesia. The majority of hoax contexts are related to public concern for health (234.65.2%). These people are more concerned with each other or ordinary people (157, 52.2%) than important figures (58, 16.2%). Two main social media platforms are the medium, namely Facebook (142, 39.6%) and WhatsApp (122, 34%). The dominant number of hoaxes </w:t>
      </w:r>
      <w:r>
        <w:rPr>
          <w:color w:val="000000" w:themeColor="text1"/>
          <w:sz w:val="24"/>
          <w:szCs w:val="24"/>
          <w:lang w:val="en"/>
        </w:rPr>
        <w:t>mentions or implies</w:t>
      </w:r>
      <w:r w:rsidRPr="005D00CC">
        <w:rPr>
          <w:color w:val="000000" w:themeColor="text1"/>
          <w:sz w:val="24"/>
          <w:szCs w:val="24"/>
          <w:lang w:val="en"/>
        </w:rPr>
        <w:t xml:space="preserve"> names of places, buildings and other places in local settings (157, 43.7%). Most of the disinformation spread rumors of fear or fear (241, 67.1%). The researchers suggest several recommendations in responding to the urgency of tackling disinformation during the Covid-19 pandemic in Indonesia and initiating digital and media literacy in Indonesia's national education system. The Indonesian government should cooperate and implement fact-checking practices with regional and local stakeholders, especially in rural areas. The local community must monitor, check the truth, and clarify </w:t>
      </w:r>
      <w:r>
        <w:rPr>
          <w:color w:val="000000" w:themeColor="text1"/>
          <w:sz w:val="24"/>
          <w:szCs w:val="24"/>
          <w:lang w:val="en"/>
        </w:rPr>
        <w:t>m</w:t>
      </w:r>
      <w:r w:rsidRPr="005D00CC">
        <w:rPr>
          <w:color w:val="000000" w:themeColor="text1"/>
          <w:sz w:val="24"/>
          <w:szCs w:val="24"/>
          <w:lang w:val="en"/>
        </w:rPr>
        <w:t xml:space="preserve">isinformation that occurs in their community. Each local community from </w:t>
      </w:r>
      <w:r w:rsidRPr="005D00CC">
        <w:rPr>
          <w:i/>
          <w:color w:val="000000" w:themeColor="text1"/>
          <w:sz w:val="24"/>
          <w:szCs w:val="24"/>
          <w:lang w:val="en"/>
        </w:rPr>
        <w:t>Rukun Tetangga</w:t>
      </w:r>
      <w:r w:rsidRPr="005D00CC">
        <w:rPr>
          <w:color w:val="000000" w:themeColor="text1"/>
          <w:sz w:val="24"/>
          <w:szCs w:val="24"/>
          <w:lang w:val="en"/>
        </w:rPr>
        <w:t xml:space="preserve"> (</w:t>
      </w:r>
      <w:r>
        <w:rPr>
          <w:color w:val="000000" w:themeColor="text1"/>
          <w:sz w:val="24"/>
          <w:szCs w:val="24"/>
          <w:lang w:val="en"/>
        </w:rPr>
        <w:t xml:space="preserve">regional </w:t>
      </w:r>
      <w:r w:rsidRPr="005D00CC">
        <w:rPr>
          <w:color w:val="000000" w:themeColor="text1"/>
          <w:sz w:val="24"/>
          <w:szCs w:val="24"/>
          <w:lang w:val="en"/>
        </w:rPr>
        <w:t xml:space="preserve">district), </w:t>
      </w:r>
      <w:r w:rsidRPr="005D00CC">
        <w:rPr>
          <w:i/>
          <w:color w:val="000000" w:themeColor="text1"/>
          <w:sz w:val="24"/>
          <w:szCs w:val="24"/>
          <w:lang w:val="en"/>
        </w:rPr>
        <w:t>Rukun Warga</w:t>
      </w:r>
      <w:r w:rsidRPr="005D00CC">
        <w:rPr>
          <w:color w:val="000000" w:themeColor="text1"/>
          <w:sz w:val="24"/>
          <w:szCs w:val="24"/>
          <w:lang w:val="en"/>
        </w:rPr>
        <w:t xml:space="preserve"> (local community), and </w:t>
      </w:r>
      <w:r>
        <w:rPr>
          <w:i/>
          <w:color w:val="000000" w:themeColor="text1"/>
          <w:sz w:val="24"/>
          <w:szCs w:val="24"/>
          <w:lang w:val="en"/>
        </w:rPr>
        <w:t>K</w:t>
      </w:r>
      <w:r w:rsidRPr="005D00CC">
        <w:rPr>
          <w:i/>
          <w:color w:val="000000" w:themeColor="text1"/>
          <w:sz w:val="24"/>
          <w:szCs w:val="24"/>
          <w:lang w:val="en"/>
        </w:rPr>
        <w:t xml:space="preserve">elurahan </w:t>
      </w:r>
      <w:r w:rsidRPr="005D00CC">
        <w:rPr>
          <w:color w:val="000000" w:themeColor="text1"/>
          <w:sz w:val="24"/>
          <w:szCs w:val="24"/>
          <w:lang w:val="en"/>
        </w:rPr>
        <w:t>(</w:t>
      </w:r>
      <w:r>
        <w:rPr>
          <w:color w:val="000000" w:themeColor="text1"/>
          <w:sz w:val="24"/>
          <w:szCs w:val="24"/>
          <w:lang w:val="en"/>
        </w:rPr>
        <w:t>sub-district</w:t>
      </w:r>
      <w:r w:rsidRPr="005D00CC">
        <w:rPr>
          <w:color w:val="000000" w:themeColor="text1"/>
          <w:sz w:val="24"/>
          <w:szCs w:val="24"/>
          <w:lang w:val="en"/>
        </w:rPr>
        <w:t>) must organize fact-checking workshops for local residents. F</w:t>
      </w:r>
      <w:r>
        <w:rPr>
          <w:color w:val="000000" w:themeColor="text1"/>
          <w:sz w:val="24"/>
          <w:szCs w:val="24"/>
          <w:lang w:val="en"/>
        </w:rPr>
        <w:t>uture research</w:t>
      </w:r>
      <w:r w:rsidRPr="005D00CC">
        <w:rPr>
          <w:color w:val="000000" w:themeColor="text1"/>
          <w:sz w:val="24"/>
          <w:szCs w:val="24"/>
          <w:lang w:val="en"/>
        </w:rPr>
        <w:t xml:space="preserve"> is advisable to conduct more thorough, longitudinal, and </w:t>
      </w:r>
      <w:r w:rsidRPr="005D00CC">
        <w:rPr>
          <w:color w:val="000000" w:themeColor="text1"/>
          <w:sz w:val="24"/>
          <w:szCs w:val="24"/>
          <w:lang w:val="en"/>
        </w:rPr>
        <w:lastRenderedPageBreak/>
        <w:t xml:space="preserve">comprehensive research on disinformation mapping during Covid-19. This research can provide a clearer picture </w:t>
      </w:r>
      <w:r>
        <w:rPr>
          <w:color w:val="000000" w:themeColor="text1"/>
          <w:sz w:val="24"/>
          <w:szCs w:val="24"/>
          <w:lang w:val="en"/>
        </w:rPr>
        <w:t>of</w:t>
      </w:r>
      <w:r w:rsidRPr="005D00CC">
        <w:rPr>
          <w:color w:val="000000" w:themeColor="text1"/>
          <w:sz w:val="24"/>
          <w:szCs w:val="24"/>
          <w:lang w:val="en"/>
        </w:rPr>
        <w:t xml:space="preserve"> the government and the public about the spread of hoaxes during a pandemic</w:t>
      </w:r>
      <w:r w:rsidR="00C44CE2" w:rsidRPr="00697291">
        <w:t>.</w:t>
      </w:r>
    </w:p>
    <w:p w14:paraId="7B20335F" w14:textId="6D182981" w:rsidR="00822510" w:rsidRPr="00697291" w:rsidRDefault="00822510" w:rsidP="00697291">
      <w:pPr>
        <w:tabs>
          <w:tab w:val="left" w:pos="0"/>
        </w:tabs>
        <w:autoSpaceDE w:val="0"/>
        <w:autoSpaceDN w:val="0"/>
        <w:adjustRightInd w:val="0"/>
        <w:jc w:val="both"/>
        <w:rPr>
          <w:b/>
          <w:sz w:val="24"/>
          <w:szCs w:val="24"/>
          <w:lang w:val="id-ID"/>
        </w:rPr>
      </w:pPr>
      <w:r w:rsidRPr="00697291">
        <w:rPr>
          <w:b/>
          <w:sz w:val="24"/>
          <w:szCs w:val="24"/>
        </w:rPr>
        <w:t>Acknowledg</w:t>
      </w:r>
      <w:r w:rsidR="005D00CC">
        <w:rPr>
          <w:b/>
          <w:sz w:val="24"/>
          <w:szCs w:val="24"/>
        </w:rPr>
        <w:t>e</w:t>
      </w:r>
      <w:r w:rsidRPr="00697291">
        <w:rPr>
          <w:b/>
          <w:sz w:val="24"/>
          <w:szCs w:val="24"/>
        </w:rPr>
        <w:t>ments</w:t>
      </w:r>
    </w:p>
    <w:p w14:paraId="1D5FADB0" w14:textId="6D0C22CE" w:rsidR="00C062B6" w:rsidRPr="00697291" w:rsidRDefault="00C062B6" w:rsidP="00697291">
      <w:pPr>
        <w:pStyle w:val="HTMLPreformatted"/>
        <w:shd w:val="clear" w:color="auto" w:fill="FFFFFF"/>
        <w:tabs>
          <w:tab w:val="left" w:pos="567"/>
        </w:tabs>
        <w:jc w:val="both"/>
        <w:rPr>
          <w:rFonts w:ascii="Times New Roman" w:hAnsi="Times New Roman" w:cs="Times New Roman"/>
          <w:color w:val="212121"/>
          <w:sz w:val="24"/>
          <w:szCs w:val="24"/>
          <w:lang w:val="id-ID" w:eastAsia="id-ID"/>
        </w:rPr>
      </w:pPr>
      <w:r w:rsidRPr="00697291">
        <w:rPr>
          <w:rFonts w:ascii="Times New Roman" w:hAnsi="Times New Roman" w:cs="Times New Roman"/>
          <w:b/>
          <w:sz w:val="24"/>
          <w:szCs w:val="24"/>
          <w:lang w:val="id-ID"/>
        </w:rPr>
        <w:tab/>
      </w:r>
      <w:r w:rsidR="005D00CC" w:rsidRPr="005D00CC">
        <w:rPr>
          <w:rFonts w:ascii="Times New Roman" w:hAnsi="Times New Roman" w:cs="Times New Roman"/>
          <w:color w:val="000000" w:themeColor="text1"/>
          <w:sz w:val="24"/>
          <w:szCs w:val="24"/>
          <w:lang w:val="id-ID"/>
        </w:rPr>
        <w:t xml:space="preserve">This research </w:t>
      </w:r>
      <w:r w:rsidR="005D00CC">
        <w:rPr>
          <w:rFonts w:ascii="Times New Roman" w:hAnsi="Times New Roman" w:cs="Times New Roman"/>
          <w:color w:val="000000" w:themeColor="text1"/>
          <w:sz w:val="24"/>
          <w:szCs w:val="24"/>
          <w:lang w:val="id-ID"/>
        </w:rPr>
        <w:t>results from</w:t>
      </w:r>
      <w:r w:rsidR="005D00CC" w:rsidRPr="005D00CC">
        <w:rPr>
          <w:rFonts w:ascii="Times New Roman" w:hAnsi="Times New Roman" w:cs="Times New Roman"/>
          <w:color w:val="000000" w:themeColor="text1"/>
          <w:sz w:val="24"/>
          <w:szCs w:val="24"/>
          <w:lang w:val="id-ID"/>
        </w:rPr>
        <w:t xml:space="preserve"> collaborative research between the University of Indonesia, the State University of Jakarta and the University of Padjajaran. Therefore, we would like to thank the Chancellors of the University of Indonesia, Jakarta State University, and Padjajaran University. They have provided material and moral support</w:t>
      </w:r>
      <w:r w:rsidRPr="00697291">
        <w:rPr>
          <w:rFonts w:ascii="Times New Roman" w:hAnsi="Times New Roman" w:cs="Times New Roman"/>
          <w:color w:val="000000" w:themeColor="text1"/>
          <w:sz w:val="24"/>
          <w:szCs w:val="24"/>
          <w:lang w:val="id-ID" w:eastAsia="id-ID"/>
        </w:rPr>
        <w:t>.</w:t>
      </w:r>
    </w:p>
    <w:p w14:paraId="7A96FB3F" w14:textId="77777777" w:rsidR="00822510" w:rsidRPr="00697291" w:rsidRDefault="00822510" w:rsidP="00697291">
      <w:pPr>
        <w:tabs>
          <w:tab w:val="left" w:pos="0"/>
        </w:tabs>
        <w:autoSpaceDE w:val="0"/>
        <w:autoSpaceDN w:val="0"/>
        <w:adjustRightInd w:val="0"/>
        <w:jc w:val="both"/>
        <w:rPr>
          <w:b/>
          <w:sz w:val="24"/>
          <w:szCs w:val="24"/>
          <w:lang w:val="id-ID"/>
        </w:rPr>
      </w:pPr>
    </w:p>
    <w:p w14:paraId="0D319694" w14:textId="25791081" w:rsidR="00FE2FC4" w:rsidRDefault="00FE2FC4" w:rsidP="00697291">
      <w:pPr>
        <w:tabs>
          <w:tab w:val="left" w:pos="0"/>
        </w:tabs>
        <w:autoSpaceDE w:val="0"/>
        <w:autoSpaceDN w:val="0"/>
        <w:adjustRightInd w:val="0"/>
        <w:jc w:val="both"/>
        <w:rPr>
          <w:b/>
          <w:sz w:val="24"/>
          <w:szCs w:val="24"/>
        </w:rPr>
      </w:pPr>
      <w:r w:rsidRPr="00697291">
        <w:rPr>
          <w:b/>
          <w:sz w:val="24"/>
          <w:szCs w:val="24"/>
        </w:rPr>
        <w:t>References</w:t>
      </w:r>
    </w:p>
    <w:p w14:paraId="31E84A9C" w14:textId="63A246A6" w:rsidR="00777B6C" w:rsidRDefault="00777B6C" w:rsidP="00643628">
      <w:pPr>
        <w:rPr>
          <w:color w:val="000000" w:themeColor="text1"/>
          <w:sz w:val="24"/>
          <w:szCs w:val="24"/>
          <w:lang w:val="en"/>
        </w:rPr>
      </w:pPr>
    </w:p>
    <w:p w14:paraId="687032ED" w14:textId="590335C4" w:rsidR="005D00CC" w:rsidRPr="005D00CC" w:rsidRDefault="00D12638" w:rsidP="005D00CC">
      <w:pPr>
        <w:widowControl w:val="0"/>
        <w:autoSpaceDE w:val="0"/>
        <w:autoSpaceDN w:val="0"/>
        <w:adjustRightInd w:val="0"/>
        <w:ind w:left="480" w:hanging="480"/>
        <w:jc w:val="both"/>
        <w:rPr>
          <w:noProof/>
          <w:sz w:val="24"/>
          <w:szCs w:val="24"/>
        </w:rPr>
      </w:pPr>
      <w:r w:rsidRPr="005D00CC">
        <w:rPr>
          <w:sz w:val="24"/>
          <w:szCs w:val="24"/>
        </w:rPr>
        <w:fldChar w:fldCharType="begin" w:fldLock="1"/>
      </w:r>
      <w:r w:rsidRPr="005D00CC">
        <w:rPr>
          <w:sz w:val="24"/>
          <w:szCs w:val="24"/>
        </w:rPr>
        <w:instrText xml:space="preserve">ADDIN Mendeley Bibliography CSL_BIBLIOGRAPHY </w:instrText>
      </w:r>
      <w:r w:rsidRPr="005D00CC">
        <w:rPr>
          <w:sz w:val="24"/>
          <w:szCs w:val="24"/>
        </w:rPr>
        <w:fldChar w:fldCharType="separate"/>
      </w:r>
      <w:r w:rsidR="005D00CC" w:rsidRPr="005D00CC">
        <w:rPr>
          <w:noProof/>
          <w:sz w:val="24"/>
          <w:szCs w:val="24"/>
        </w:rPr>
        <w:t xml:space="preserve">Aaltola, M. (2012). Contagious insecurity: War, SARS and global air mobility. </w:t>
      </w:r>
      <w:r w:rsidR="005D00CC" w:rsidRPr="005D00CC">
        <w:rPr>
          <w:i/>
          <w:iCs/>
          <w:noProof/>
          <w:sz w:val="24"/>
          <w:szCs w:val="24"/>
        </w:rPr>
        <w:t>Contemporary Politics</w:t>
      </w:r>
      <w:r w:rsidR="005D00CC" w:rsidRPr="005D00CC">
        <w:rPr>
          <w:noProof/>
          <w:sz w:val="24"/>
          <w:szCs w:val="24"/>
        </w:rPr>
        <w:t xml:space="preserve">, </w:t>
      </w:r>
      <w:r w:rsidR="005D00CC" w:rsidRPr="005D00CC">
        <w:rPr>
          <w:i/>
          <w:iCs/>
          <w:noProof/>
          <w:sz w:val="24"/>
          <w:szCs w:val="24"/>
        </w:rPr>
        <w:t>18</w:t>
      </w:r>
      <w:r w:rsidR="005D00CC" w:rsidRPr="005D00CC">
        <w:rPr>
          <w:noProof/>
          <w:sz w:val="24"/>
          <w:szCs w:val="24"/>
        </w:rPr>
        <w:t>(1), 53–70. https://doi.org/10.1080/13569775.2012.651273</w:t>
      </w:r>
    </w:p>
    <w:p w14:paraId="335EABC1" w14:textId="05A031C6"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Ali, I. (2020). The COVID-19 Pandemic: Making Sense of Rumor and Fear: Op-Ed. </w:t>
      </w:r>
      <w:r w:rsidRPr="005D00CC">
        <w:rPr>
          <w:i/>
          <w:iCs/>
          <w:noProof/>
          <w:sz w:val="24"/>
          <w:szCs w:val="24"/>
        </w:rPr>
        <w:t>Medical Anthropology: Cross Cultural Studies in Health and Illness</w:t>
      </w:r>
      <w:r w:rsidRPr="005D00CC">
        <w:rPr>
          <w:noProof/>
          <w:sz w:val="24"/>
          <w:szCs w:val="24"/>
        </w:rPr>
        <w:t xml:space="preserve">, </w:t>
      </w:r>
      <w:r w:rsidRPr="005D00CC">
        <w:rPr>
          <w:i/>
          <w:iCs/>
          <w:noProof/>
          <w:sz w:val="24"/>
          <w:szCs w:val="24"/>
        </w:rPr>
        <w:t>39</w:t>
      </w:r>
      <w:r w:rsidRPr="005D00CC">
        <w:rPr>
          <w:noProof/>
          <w:sz w:val="24"/>
          <w:szCs w:val="24"/>
        </w:rPr>
        <w:t>(5), 376–379. https://doi.org/10.1080/01459740.2020.1745481</w:t>
      </w:r>
    </w:p>
    <w:p w14:paraId="6DA232FF" w14:textId="4902AB38" w:rsidR="005D00CC" w:rsidRP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Allport, G. W., &amp; Postman, L. (1946). An Analysis of Rumor. </w:t>
      </w:r>
      <w:r w:rsidRPr="005D00CC">
        <w:rPr>
          <w:i/>
          <w:color w:val="000000" w:themeColor="text1"/>
          <w:sz w:val="24"/>
          <w:szCs w:val="24"/>
          <w:lang w:val="en"/>
        </w:rPr>
        <w:t>Public Opinion Quarterly</w:t>
      </w:r>
      <w:r w:rsidRPr="005D00CC">
        <w:rPr>
          <w:color w:val="000000" w:themeColor="text1"/>
          <w:sz w:val="24"/>
          <w:szCs w:val="24"/>
          <w:lang w:val="en"/>
        </w:rPr>
        <w:t xml:space="preserve">, </w:t>
      </w:r>
      <w:r w:rsidRPr="005D00CC">
        <w:rPr>
          <w:i/>
          <w:color w:val="000000" w:themeColor="text1"/>
          <w:sz w:val="24"/>
          <w:szCs w:val="24"/>
          <w:lang w:val="en"/>
        </w:rPr>
        <w:t>10</w:t>
      </w:r>
      <w:r w:rsidRPr="005D00CC">
        <w:rPr>
          <w:color w:val="000000" w:themeColor="text1"/>
          <w:sz w:val="24"/>
          <w:szCs w:val="24"/>
          <w:lang w:val="en"/>
        </w:rPr>
        <w:t>(4), 501–517.</w:t>
      </w:r>
    </w:p>
    <w:p w14:paraId="51EFD60A"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Arthur, P. L. (2017). Things fall apart: Identity in the digital world. </w:t>
      </w:r>
      <w:r w:rsidRPr="005D00CC">
        <w:rPr>
          <w:i/>
          <w:iCs/>
          <w:noProof/>
          <w:sz w:val="24"/>
          <w:szCs w:val="24"/>
        </w:rPr>
        <w:t>Life Writing</w:t>
      </w:r>
      <w:r w:rsidRPr="005D00CC">
        <w:rPr>
          <w:noProof/>
          <w:sz w:val="24"/>
          <w:szCs w:val="24"/>
        </w:rPr>
        <w:t xml:space="preserve">, </w:t>
      </w:r>
      <w:r w:rsidRPr="005D00CC">
        <w:rPr>
          <w:i/>
          <w:iCs/>
          <w:noProof/>
          <w:sz w:val="24"/>
          <w:szCs w:val="24"/>
        </w:rPr>
        <w:t>14</w:t>
      </w:r>
      <w:r w:rsidRPr="005D00CC">
        <w:rPr>
          <w:noProof/>
          <w:sz w:val="24"/>
          <w:szCs w:val="24"/>
        </w:rPr>
        <w:t>(4), 541–550. https://doi.org/10.1080/14484528.2017.1364170</w:t>
      </w:r>
    </w:p>
    <w:p w14:paraId="2163803A" w14:textId="77777777" w:rsid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Bahar, H. M. (2020). Social media and disinformation in war propaganda: how Afghan government and the Taliban use Twitter. </w:t>
      </w:r>
      <w:r w:rsidRPr="005D00CC">
        <w:rPr>
          <w:i/>
          <w:iCs/>
          <w:noProof/>
          <w:sz w:val="24"/>
          <w:szCs w:val="24"/>
        </w:rPr>
        <w:t>Media Asia</w:t>
      </w:r>
      <w:r w:rsidRPr="005D00CC">
        <w:rPr>
          <w:noProof/>
          <w:sz w:val="24"/>
          <w:szCs w:val="24"/>
        </w:rPr>
        <w:t xml:space="preserve">, </w:t>
      </w:r>
      <w:r w:rsidRPr="005D00CC">
        <w:rPr>
          <w:i/>
          <w:iCs/>
          <w:noProof/>
          <w:sz w:val="24"/>
          <w:szCs w:val="24"/>
        </w:rPr>
        <w:t>47</w:t>
      </w:r>
      <w:r w:rsidRPr="005D00CC">
        <w:rPr>
          <w:noProof/>
          <w:sz w:val="24"/>
          <w:szCs w:val="24"/>
        </w:rPr>
        <w:t>(1–2), 34–46. https://doi.org/10.1080/01296612.2020.1822634</w:t>
      </w:r>
    </w:p>
    <w:p w14:paraId="4ABE5992"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Bradshaw, S., &amp; Howard, P. N. (2018). The global organization of social media disinformation campaigns. </w:t>
      </w:r>
      <w:r w:rsidRPr="005D00CC">
        <w:rPr>
          <w:i/>
          <w:color w:val="000000" w:themeColor="text1"/>
          <w:sz w:val="24"/>
          <w:szCs w:val="24"/>
          <w:lang w:val="en"/>
        </w:rPr>
        <w:t>Journal of International Affairs</w:t>
      </w:r>
      <w:r w:rsidRPr="005D00CC">
        <w:rPr>
          <w:color w:val="000000" w:themeColor="text1"/>
          <w:sz w:val="24"/>
          <w:szCs w:val="24"/>
          <w:lang w:val="en"/>
        </w:rPr>
        <w:t xml:space="preserve">, </w:t>
      </w:r>
      <w:r w:rsidRPr="005D00CC">
        <w:rPr>
          <w:i/>
          <w:color w:val="000000" w:themeColor="text1"/>
          <w:sz w:val="24"/>
          <w:szCs w:val="24"/>
          <w:lang w:val="en"/>
        </w:rPr>
        <w:t>71</w:t>
      </w:r>
      <w:r w:rsidRPr="005D00CC">
        <w:rPr>
          <w:color w:val="000000" w:themeColor="text1"/>
          <w:sz w:val="24"/>
          <w:szCs w:val="24"/>
          <w:lang w:val="en"/>
        </w:rPr>
        <w:t>(1.5), 23–32.</w:t>
      </w:r>
    </w:p>
    <w:p w14:paraId="776CB796"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Chou, W.-Y. S., Oh, A., &amp; Klein, W. M. (2018). Addressing health-related misinformation on social media. </w:t>
      </w:r>
      <w:r w:rsidRPr="005D00CC">
        <w:rPr>
          <w:i/>
          <w:color w:val="000000" w:themeColor="text1"/>
          <w:sz w:val="24"/>
          <w:szCs w:val="24"/>
          <w:lang w:val="en"/>
        </w:rPr>
        <w:t>Jama</w:t>
      </w:r>
      <w:r w:rsidRPr="005D00CC">
        <w:rPr>
          <w:color w:val="000000" w:themeColor="text1"/>
          <w:sz w:val="24"/>
          <w:szCs w:val="24"/>
          <w:lang w:val="en"/>
        </w:rPr>
        <w:t xml:space="preserve">, </w:t>
      </w:r>
      <w:r w:rsidRPr="005D00CC">
        <w:rPr>
          <w:i/>
          <w:color w:val="000000" w:themeColor="text1"/>
          <w:sz w:val="24"/>
          <w:szCs w:val="24"/>
          <w:lang w:val="en"/>
        </w:rPr>
        <w:t>320</w:t>
      </w:r>
      <w:r w:rsidRPr="005D00CC">
        <w:rPr>
          <w:color w:val="000000" w:themeColor="text1"/>
          <w:sz w:val="24"/>
          <w:szCs w:val="24"/>
          <w:lang w:val="en"/>
        </w:rPr>
        <w:t>(23), 2417–2418.</w:t>
      </w:r>
    </w:p>
    <w:p w14:paraId="451300B0"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Christians, C. G., Fackler, M., Richardson, K. B., &amp; Kreshel, P. (2020). </w:t>
      </w:r>
      <w:r w:rsidRPr="005D00CC">
        <w:rPr>
          <w:i/>
          <w:color w:val="000000" w:themeColor="text1"/>
          <w:sz w:val="24"/>
          <w:szCs w:val="24"/>
          <w:lang w:val="en"/>
        </w:rPr>
        <w:t>Media ethics: Cases and moral reasoning</w:t>
      </w:r>
      <w:r w:rsidRPr="005D00CC">
        <w:rPr>
          <w:color w:val="000000" w:themeColor="text1"/>
          <w:sz w:val="24"/>
          <w:szCs w:val="24"/>
          <w:lang w:val="en"/>
        </w:rPr>
        <w:t>. Routledge.</w:t>
      </w:r>
    </w:p>
    <w:p w14:paraId="78AC0605"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Cummings, C. L., &amp; Kong, W. Y. (2019). Breaking Down “Fake News”: Differences Between Misinformation, Disinformation, Rumors, and Propaganda. </w:t>
      </w:r>
      <w:r w:rsidRPr="005D00CC">
        <w:rPr>
          <w:i/>
          <w:color w:val="000000" w:themeColor="text1"/>
          <w:sz w:val="24"/>
          <w:szCs w:val="24"/>
          <w:lang w:val="en"/>
        </w:rPr>
        <w:t>Resilience and Hybrid Threats: Security and Integrity for the Digital World</w:t>
      </w:r>
      <w:r w:rsidRPr="005D00CC">
        <w:rPr>
          <w:color w:val="000000" w:themeColor="text1"/>
          <w:sz w:val="24"/>
          <w:szCs w:val="24"/>
          <w:lang w:val="en"/>
        </w:rPr>
        <w:t xml:space="preserve">, </w:t>
      </w:r>
      <w:r w:rsidRPr="005D00CC">
        <w:rPr>
          <w:i/>
          <w:color w:val="000000" w:themeColor="text1"/>
          <w:sz w:val="24"/>
          <w:szCs w:val="24"/>
          <w:lang w:val="en"/>
        </w:rPr>
        <w:t>55</w:t>
      </w:r>
      <w:r w:rsidRPr="005D00CC">
        <w:rPr>
          <w:color w:val="000000" w:themeColor="text1"/>
          <w:sz w:val="24"/>
          <w:szCs w:val="24"/>
          <w:lang w:val="en"/>
        </w:rPr>
        <w:t>, 188.</w:t>
      </w:r>
    </w:p>
    <w:p w14:paraId="6B1A7F17"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Faris, R., Roberts, H., Etling, B., Bourassa, N., Zuckerman, E., &amp; Benkler, Y. (2017). Partisanship, propaganda, and disinformation: Online media and the 2016 US presidential election. </w:t>
      </w:r>
      <w:r w:rsidRPr="005D00CC">
        <w:rPr>
          <w:i/>
          <w:color w:val="000000" w:themeColor="text1"/>
          <w:sz w:val="24"/>
          <w:szCs w:val="24"/>
          <w:lang w:val="en"/>
        </w:rPr>
        <w:t>Berkman Klein Center Research Publication</w:t>
      </w:r>
      <w:r w:rsidRPr="005D00CC">
        <w:rPr>
          <w:color w:val="000000" w:themeColor="text1"/>
          <w:sz w:val="24"/>
          <w:szCs w:val="24"/>
          <w:lang w:val="en"/>
        </w:rPr>
        <w:t xml:space="preserve">, </w:t>
      </w:r>
      <w:r w:rsidRPr="005D00CC">
        <w:rPr>
          <w:i/>
          <w:color w:val="000000" w:themeColor="text1"/>
          <w:sz w:val="24"/>
          <w:szCs w:val="24"/>
          <w:lang w:val="en"/>
        </w:rPr>
        <w:t>6</w:t>
      </w:r>
      <w:r w:rsidRPr="005D00CC">
        <w:rPr>
          <w:color w:val="000000" w:themeColor="text1"/>
          <w:sz w:val="24"/>
          <w:szCs w:val="24"/>
          <w:lang w:val="en"/>
        </w:rPr>
        <w:t>.</w:t>
      </w:r>
    </w:p>
    <w:p w14:paraId="21ADD531"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Fried, D., &amp; Polyakova, A. (2018). </w:t>
      </w:r>
      <w:r w:rsidRPr="005D00CC">
        <w:rPr>
          <w:i/>
          <w:color w:val="000000" w:themeColor="text1"/>
          <w:sz w:val="24"/>
          <w:szCs w:val="24"/>
          <w:lang w:val="en"/>
        </w:rPr>
        <w:t>Democratic defense against disinformation</w:t>
      </w:r>
      <w:r w:rsidRPr="005D00CC">
        <w:rPr>
          <w:color w:val="000000" w:themeColor="text1"/>
          <w:sz w:val="24"/>
          <w:szCs w:val="24"/>
          <w:lang w:val="en"/>
        </w:rPr>
        <w:t>. Atlantic Council Washington, DC.</w:t>
      </w:r>
    </w:p>
    <w:p w14:paraId="2F359F9E"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Glaeser, E. L., &amp; Ujhelyi, G. (2010). Regulating misinformation. </w:t>
      </w:r>
      <w:r w:rsidRPr="005D00CC">
        <w:rPr>
          <w:i/>
          <w:color w:val="000000" w:themeColor="text1"/>
          <w:sz w:val="24"/>
          <w:szCs w:val="24"/>
          <w:lang w:val="en"/>
        </w:rPr>
        <w:t>Journal of Public Economics</w:t>
      </w:r>
      <w:r w:rsidRPr="005D00CC">
        <w:rPr>
          <w:color w:val="000000" w:themeColor="text1"/>
          <w:sz w:val="24"/>
          <w:szCs w:val="24"/>
          <w:lang w:val="en"/>
        </w:rPr>
        <w:t xml:space="preserve">, </w:t>
      </w:r>
      <w:r w:rsidRPr="005D00CC">
        <w:rPr>
          <w:i/>
          <w:color w:val="000000" w:themeColor="text1"/>
          <w:sz w:val="24"/>
          <w:szCs w:val="24"/>
          <w:lang w:val="en"/>
        </w:rPr>
        <w:t>94</w:t>
      </w:r>
      <w:r w:rsidRPr="005D00CC">
        <w:rPr>
          <w:color w:val="000000" w:themeColor="text1"/>
          <w:sz w:val="24"/>
          <w:szCs w:val="24"/>
          <w:lang w:val="en"/>
        </w:rPr>
        <w:t>(3–4), 247–257.</w:t>
      </w:r>
    </w:p>
    <w:p w14:paraId="24872436" w14:textId="213CA93F"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Guo, L. (2020). China's "Fake News" Problem: Exploring the Spread of Online Rumors in the Government-Controlled News Media. </w:t>
      </w:r>
      <w:r w:rsidRPr="005D00CC">
        <w:rPr>
          <w:i/>
          <w:iCs/>
          <w:noProof/>
          <w:sz w:val="24"/>
          <w:szCs w:val="24"/>
        </w:rPr>
        <w:t>Digital Journalism</w:t>
      </w:r>
      <w:r w:rsidRPr="005D00CC">
        <w:rPr>
          <w:noProof/>
          <w:sz w:val="24"/>
          <w:szCs w:val="24"/>
        </w:rPr>
        <w:t xml:space="preserve">, </w:t>
      </w:r>
      <w:r w:rsidRPr="005D00CC">
        <w:rPr>
          <w:i/>
          <w:iCs/>
          <w:noProof/>
          <w:sz w:val="24"/>
          <w:szCs w:val="24"/>
        </w:rPr>
        <w:t>8</w:t>
      </w:r>
      <w:r w:rsidRPr="005D00CC">
        <w:rPr>
          <w:noProof/>
          <w:sz w:val="24"/>
          <w:szCs w:val="24"/>
        </w:rPr>
        <w:t>(8), 992–1010. https://doi.org/10.1080/21670811.2020.1766986</w:t>
      </w:r>
    </w:p>
    <w:p w14:paraId="6F84FC2A"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Guo, L., &amp; Zhang, Y. (2020). Information Flow Within and Across Online Media Platforms: An Agenda-setting Analysis of Rumor Diffusion on News Websites, Weibo, and WeChat in China. </w:t>
      </w:r>
      <w:r w:rsidRPr="005D00CC">
        <w:rPr>
          <w:i/>
          <w:iCs/>
          <w:noProof/>
          <w:sz w:val="24"/>
          <w:szCs w:val="24"/>
        </w:rPr>
        <w:t>Journalism Studies</w:t>
      </w:r>
      <w:r w:rsidRPr="005D00CC">
        <w:rPr>
          <w:noProof/>
          <w:sz w:val="24"/>
          <w:szCs w:val="24"/>
        </w:rPr>
        <w:t xml:space="preserve">, </w:t>
      </w:r>
      <w:r w:rsidRPr="005D00CC">
        <w:rPr>
          <w:i/>
          <w:iCs/>
          <w:noProof/>
          <w:sz w:val="24"/>
          <w:szCs w:val="24"/>
        </w:rPr>
        <w:t>21</w:t>
      </w:r>
      <w:r w:rsidRPr="005D00CC">
        <w:rPr>
          <w:noProof/>
          <w:sz w:val="24"/>
          <w:szCs w:val="24"/>
        </w:rPr>
        <w:t>(15), 2176–2195. https://doi.org/10.1080/1461670X.2020.1827012</w:t>
      </w:r>
    </w:p>
    <w:p w14:paraId="7CB99EA3" w14:textId="77777777" w:rsid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Jamil, S., &amp; Appiah-Adjei, G. (2020). Battling with infodemic and disinfodemic: the </w:t>
      </w:r>
      <w:r w:rsidRPr="005D00CC">
        <w:rPr>
          <w:noProof/>
          <w:sz w:val="24"/>
          <w:szCs w:val="24"/>
        </w:rPr>
        <w:lastRenderedPageBreak/>
        <w:t xml:space="preserve">quandary of journalists to report on COVID-19 pandemic in Pakistan. </w:t>
      </w:r>
      <w:r w:rsidRPr="005D00CC">
        <w:rPr>
          <w:i/>
          <w:iCs/>
          <w:noProof/>
          <w:sz w:val="24"/>
          <w:szCs w:val="24"/>
        </w:rPr>
        <w:t>Media Asia</w:t>
      </w:r>
      <w:r w:rsidRPr="005D00CC">
        <w:rPr>
          <w:noProof/>
          <w:sz w:val="24"/>
          <w:szCs w:val="24"/>
        </w:rPr>
        <w:t xml:space="preserve">, </w:t>
      </w:r>
      <w:r w:rsidRPr="005D00CC">
        <w:rPr>
          <w:i/>
          <w:iCs/>
          <w:noProof/>
          <w:sz w:val="24"/>
          <w:szCs w:val="24"/>
        </w:rPr>
        <w:t>47</w:t>
      </w:r>
      <w:r w:rsidRPr="005D00CC">
        <w:rPr>
          <w:noProof/>
          <w:sz w:val="24"/>
          <w:szCs w:val="24"/>
        </w:rPr>
        <w:t>(3–4), 88–109. https://doi.org/10.1080/01296612.2020.1853393</w:t>
      </w:r>
    </w:p>
    <w:p w14:paraId="523C4DB4" w14:textId="2A5AE96C" w:rsidR="005D00CC" w:rsidRP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Kahne, J., &amp; Bowyer, B. (2017). Educating for democracy in a partisan age: Confronting the challenges of motivated reasoning and misinformation. </w:t>
      </w:r>
      <w:r w:rsidRPr="005D00CC">
        <w:rPr>
          <w:i/>
          <w:color w:val="000000" w:themeColor="text1"/>
          <w:sz w:val="24"/>
          <w:szCs w:val="24"/>
          <w:lang w:val="en"/>
        </w:rPr>
        <w:t>American Educational Research Journal</w:t>
      </w:r>
      <w:r w:rsidRPr="005D00CC">
        <w:rPr>
          <w:color w:val="000000" w:themeColor="text1"/>
          <w:sz w:val="24"/>
          <w:szCs w:val="24"/>
          <w:lang w:val="en"/>
        </w:rPr>
        <w:t xml:space="preserve">, </w:t>
      </w:r>
      <w:r w:rsidRPr="005D00CC">
        <w:rPr>
          <w:i/>
          <w:color w:val="000000" w:themeColor="text1"/>
          <w:sz w:val="24"/>
          <w:szCs w:val="24"/>
          <w:lang w:val="en"/>
        </w:rPr>
        <w:t>54</w:t>
      </w:r>
      <w:r w:rsidRPr="005D00CC">
        <w:rPr>
          <w:color w:val="000000" w:themeColor="text1"/>
          <w:sz w:val="24"/>
          <w:szCs w:val="24"/>
          <w:lang w:val="en"/>
        </w:rPr>
        <w:t>(1), 3–34.</w:t>
      </w:r>
    </w:p>
    <w:p w14:paraId="0B7CEC73" w14:textId="7AFE5CE2"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Koivisto, A. (2015). Dealing with Ambiguities in Informings: Finnish Aijaa as a "Neutral" News Receipt. </w:t>
      </w:r>
      <w:r w:rsidRPr="005D00CC">
        <w:rPr>
          <w:i/>
          <w:iCs/>
          <w:noProof/>
          <w:sz w:val="24"/>
          <w:szCs w:val="24"/>
        </w:rPr>
        <w:t>Research on Language and Social Interaction</w:t>
      </w:r>
      <w:r w:rsidRPr="005D00CC">
        <w:rPr>
          <w:noProof/>
          <w:sz w:val="24"/>
          <w:szCs w:val="24"/>
        </w:rPr>
        <w:t xml:space="preserve">, </w:t>
      </w:r>
      <w:r w:rsidRPr="005D00CC">
        <w:rPr>
          <w:i/>
          <w:iCs/>
          <w:noProof/>
          <w:sz w:val="24"/>
          <w:szCs w:val="24"/>
        </w:rPr>
        <w:t>48</w:t>
      </w:r>
      <w:r w:rsidRPr="005D00CC">
        <w:rPr>
          <w:noProof/>
          <w:sz w:val="24"/>
          <w:szCs w:val="24"/>
        </w:rPr>
        <w:t>(4), 365–387. https://doi.org/10.1080/08351813.2015.1090109</w:t>
      </w:r>
    </w:p>
    <w:p w14:paraId="5287A57C"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Krafft, P. M., &amp; Donovan, J. (2020). Disinformation by Design: The Use of Evidence Collages and Platform Filtering in a Media Manipulation Campaign. </w:t>
      </w:r>
      <w:r w:rsidRPr="005D00CC">
        <w:rPr>
          <w:i/>
          <w:iCs/>
          <w:noProof/>
          <w:sz w:val="24"/>
          <w:szCs w:val="24"/>
        </w:rPr>
        <w:t>Political Communication</w:t>
      </w:r>
      <w:r w:rsidRPr="005D00CC">
        <w:rPr>
          <w:noProof/>
          <w:sz w:val="24"/>
          <w:szCs w:val="24"/>
        </w:rPr>
        <w:t xml:space="preserve">, </w:t>
      </w:r>
      <w:r w:rsidRPr="005D00CC">
        <w:rPr>
          <w:i/>
          <w:iCs/>
          <w:noProof/>
          <w:sz w:val="24"/>
          <w:szCs w:val="24"/>
        </w:rPr>
        <w:t>37</w:t>
      </w:r>
      <w:r w:rsidRPr="005D00CC">
        <w:rPr>
          <w:noProof/>
          <w:sz w:val="24"/>
          <w:szCs w:val="24"/>
        </w:rPr>
        <w:t>(2), 194–214. https://doi.org/10.1080/10584609.2019.1686094</w:t>
      </w:r>
    </w:p>
    <w:p w14:paraId="38E4583E"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Lebed, F. (2019). On the Philosophical Definition of Human Play Using the Tools of Qualitative Content Analysis. </w:t>
      </w:r>
      <w:r w:rsidRPr="005D00CC">
        <w:rPr>
          <w:i/>
          <w:iCs/>
          <w:noProof/>
          <w:sz w:val="24"/>
          <w:szCs w:val="24"/>
        </w:rPr>
        <w:t>Sport, Ethics and Philosophy</w:t>
      </w:r>
      <w:r w:rsidRPr="005D00CC">
        <w:rPr>
          <w:noProof/>
          <w:sz w:val="24"/>
          <w:szCs w:val="24"/>
        </w:rPr>
        <w:t xml:space="preserve">, </w:t>
      </w:r>
      <w:r w:rsidRPr="005D00CC">
        <w:rPr>
          <w:i/>
          <w:iCs/>
          <w:noProof/>
          <w:sz w:val="24"/>
          <w:szCs w:val="24"/>
        </w:rPr>
        <w:t>0</w:t>
      </w:r>
      <w:r w:rsidRPr="005D00CC">
        <w:rPr>
          <w:noProof/>
          <w:sz w:val="24"/>
          <w:szCs w:val="24"/>
        </w:rPr>
        <w:t>(0), 1–19. https://doi.org/10.1080/17511321.2019.1649300</w:t>
      </w:r>
    </w:p>
    <w:p w14:paraId="0C0CF048" w14:textId="77777777" w:rsid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Mansur, S., Saragih, N., Ritonga, R., &amp; Damayanti, N. (2021). </w:t>
      </w:r>
      <w:r w:rsidRPr="005D00CC">
        <w:rPr>
          <w:i/>
          <w:iCs/>
          <w:noProof/>
          <w:sz w:val="24"/>
          <w:szCs w:val="24"/>
        </w:rPr>
        <w:t>Fake News on Social Media and Adolescent ’ s Cognition Berita Palsu di Media Sosial dan Kognisi Remaja</w:t>
      </w:r>
      <w:r w:rsidRPr="005D00CC">
        <w:rPr>
          <w:noProof/>
          <w:sz w:val="24"/>
          <w:szCs w:val="24"/>
        </w:rPr>
        <w:t xml:space="preserve">. </w:t>
      </w:r>
      <w:r w:rsidRPr="005D00CC">
        <w:rPr>
          <w:i/>
          <w:iCs/>
          <w:noProof/>
          <w:sz w:val="24"/>
          <w:szCs w:val="24"/>
        </w:rPr>
        <w:t>6</w:t>
      </w:r>
      <w:r w:rsidRPr="005D00CC">
        <w:rPr>
          <w:noProof/>
          <w:sz w:val="24"/>
          <w:szCs w:val="24"/>
        </w:rPr>
        <w:t>(1), 29–41.</w:t>
      </w:r>
    </w:p>
    <w:p w14:paraId="43DD287C"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Nath, H. K. (2020). </w:t>
      </w:r>
      <w:r w:rsidRPr="005D00CC">
        <w:rPr>
          <w:i/>
          <w:color w:val="000000" w:themeColor="text1"/>
          <w:sz w:val="24"/>
          <w:szCs w:val="24"/>
          <w:lang w:val="en"/>
        </w:rPr>
        <w:t>Cow urine, dung can treat coronavirus, says Assam BJP MLA - India News</w:t>
      </w:r>
      <w:r w:rsidRPr="005D00CC">
        <w:rPr>
          <w:color w:val="000000" w:themeColor="text1"/>
          <w:sz w:val="24"/>
          <w:szCs w:val="24"/>
          <w:lang w:val="en"/>
        </w:rPr>
        <w:t>. https://www.indiatoday.in/india/story/cow-urine-dung-can-treat-coronavirus-says-assam-bjp-mla-1651708-2020-03-02</w:t>
      </w:r>
    </w:p>
    <w:p w14:paraId="3A229E63"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Nyhan, B., Reifler, J., &amp; Ubel, P. A. (2013). The hazards of correcting myths about health care reform. </w:t>
      </w:r>
      <w:r w:rsidRPr="005D00CC">
        <w:rPr>
          <w:i/>
          <w:color w:val="000000" w:themeColor="text1"/>
          <w:sz w:val="24"/>
          <w:szCs w:val="24"/>
          <w:lang w:val="en"/>
        </w:rPr>
        <w:t>Medical Care</w:t>
      </w:r>
      <w:r w:rsidRPr="005D00CC">
        <w:rPr>
          <w:color w:val="000000" w:themeColor="text1"/>
          <w:sz w:val="24"/>
          <w:szCs w:val="24"/>
          <w:lang w:val="en"/>
        </w:rPr>
        <w:t>, 127–132.</w:t>
      </w:r>
    </w:p>
    <w:p w14:paraId="00EACD46"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Patrick, J. (2020). </w:t>
      </w:r>
      <w:r w:rsidRPr="005D00CC">
        <w:rPr>
          <w:i/>
          <w:color w:val="000000" w:themeColor="text1"/>
          <w:sz w:val="24"/>
          <w:szCs w:val="24"/>
          <w:lang w:val="en"/>
        </w:rPr>
        <w:t>Daftar 19 Hoaks Virus Corona</w:t>
      </w:r>
      <w:r w:rsidRPr="005D00CC">
        <w:rPr>
          <w:color w:val="000000" w:themeColor="text1"/>
          <w:sz w:val="24"/>
          <w:szCs w:val="24"/>
          <w:lang w:val="en"/>
        </w:rPr>
        <w:t>. https://www.cnnindonesia.com/teknologi/20200129175833-185-469914/daftar-19-hoaks-virus-corona</w:t>
      </w:r>
    </w:p>
    <w:p w14:paraId="253D3C42" w14:textId="253F1A90"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Pulford, E. (2019). Wind from an empty cave? Online rumor and ideology in postsocialist China and Russia. </w:t>
      </w:r>
      <w:r w:rsidRPr="005D00CC">
        <w:rPr>
          <w:i/>
          <w:iCs/>
          <w:noProof/>
          <w:sz w:val="24"/>
          <w:szCs w:val="24"/>
        </w:rPr>
        <w:t>Asian Anthropology</w:t>
      </w:r>
      <w:r w:rsidRPr="005D00CC">
        <w:rPr>
          <w:noProof/>
          <w:sz w:val="24"/>
          <w:szCs w:val="24"/>
        </w:rPr>
        <w:t xml:space="preserve">, </w:t>
      </w:r>
      <w:r w:rsidRPr="005D00CC">
        <w:rPr>
          <w:i/>
          <w:iCs/>
          <w:noProof/>
          <w:sz w:val="24"/>
          <w:szCs w:val="24"/>
        </w:rPr>
        <w:t>18</w:t>
      </w:r>
      <w:r w:rsidRPr="005D00CC">
        <w:rPr>
          <w:noProof/>
          <w:sz w:val="24"/>
          <w:szCs w:val="24"/>
        </w:rPr>
        <w:t>(1), 1–20. https://doi.org/10.1080/1683478X.2019.1537060</w:t>
      </w:r>
    </w:p>
    <w:p w14:paraId="393D7E5A"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Schellekens, T., Dillen, A., Dewitte, L., &amp; Dezutter, J. (2020). A Lay Definition of Grace: A Quantitative and Qualitative Content Analysis. </w:t>
      </w:r>
      <w:r w:rsidRPr="005D00CC">
        <w:rPr>
          <w:i/>
          <w:iCs/>
          <w:noProof/>
          <w:sz w:val="24"/>
          <w:szCs w:val="24"/>
        </w:rPr>
        <w:t>International Journal for the Psychology of Religion</w:t>
      </w:r>
      <w:r w:rsidRPr="005D00CC">
        <w:rPr>
          <w:noProof/>
          <w:sz w:val="24"/>
          <w:szCs w:val="24"/>
        </w:rPr>
        <w:t xml:space="preserve">, </w:t>
      </w:r>
      <w:r w:rsidRPr="005D00CC">
        <w:rPr>
          <w:i/>
          <w:iCs/>
          <w:noProof/>
          <w:sz w:val="24"/>
          <w:szCs w:val="24"/>
        </w:rPr>
        <w:t>0</w:t>
      </w:r>
      <w:r w:rsidRPr="005D00CC">
        <w:rPr>
          <w:noProof/>
          <w:sz w:val="24"/>
          <w:szCs w:val="24"/>
        </w:rPr>
        <w:t>(0), 1–23. https://doi.org/10.1080/10508619.2020.1793593</w:t>
      </w:r>
    </w:p>
    <w:p w14:paraId="2EE82CBB" w14:textId="77777777" w:rsid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Scherr, S., Arendt, F., Prieler, M., &amp; Ju, Y. (2021). Investigating the negative-cognitive-triad-hypothesis of news choice in Germany and South Korea: does depression predict selective exposure to negative news? </w:t>
      </w:r>
      <w:r w:rsidRPr="005D00CC">
        <w:rPr>
          <w:i/>
          <w:iCs/>
          <w:noProof/>
          <w:sz w:val="24"/>
          <w:szCs w:val="24"/>
        </w:rPr>
        <w:t>The Social Science Journal</w:t>
      </w:r>
      <w:r w:rsidRPr="005D00CC">
        <w:rPr>
          <w:noProof/>
          <w:sz w:val="24"/>
          <w:szCs w:val="24"/>
        </w:rPr>
        <w:t>, 1–18. https://doi.org/10.1080/03623319.2020.1859817</w:t>
      </w:r>
    </w:p>
    <w:p w14:paraId="10D72443" w14:textId="68841A0C" w:rsidR="005D00CC" w:rsidRP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Sunstein, C. R. (2014). </w:t>
      </w:r>
      <w:r w:rsidRPr="005D00CC">
        <w:rPr>
          <w:i/>
          <w:color w:val="000000" w:themeColor="text1"/>
          <w:sz w:val="24"/>
          <w:szCs w:val="24"/>
          <w:lang w:val="en"/>
        </w:rPr>
        <w:t>On rumors: How falsehoods spread, why we believe them, and what can be done</w:t>
      </w:r>
      <w:r w:rsidRPr="005D00CC">
        <w:rPr>
          <w:color w:val="000000" w:themeColor="text1"/>
          <w:sz w:val="24"/>
          <w:szCs w:val="24"/>
          <w:lang w:val="en"/>
        </w:rPr>
        <w:t>. Princeton University Press.</w:t>
      </w:r>
    </w:p>
    <w:p w14:paraId="35BEC5B3"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Stanley, M. L., Barr, N., Peters, K., &amp; Seli, P. (2020). Analytic-thinking predicts hoax beliefs and helping behaviors in response to the COVID-19 pandemic. </w:t>
      </w:r>
      <w:r w:rsidRPr="005D00CC">
        <w:rPr>
          <w:i/>
          <w:iCs/>
          <w:noProof/>
          <w:sz w:val="24"/>
          <w:szCs w:val="24"/>
        </w:rPr>
        <w:t>Thinking and Reasoning</w:t>
      </w:r>
      <w:r w:rsidRPr="005D00CC">
        <w:rPr>
          <w:noProof/>
          <w:sz w:val="24"/>
          <w:szCs w:val="24"/>
        </w:rPr>
        <w:t xml:space="preserve">, </w:t>
      </w:r>
      <w:r w:rsidRPr="005D00CC">
        <w:rPr>
          <w:i/>
          <w:iCs/>
          <w:noProof/>
          <w:sz w:val="24"/>
          <w:szCs w:val="24"/>
        </w:rPr>
        <w:t>0</w:t>
      </w:r>
      <w:r w:rsidRPr="005D00CC">
        <w:rPr>
          <w:noProof/>
          <w:sz w:val="24"/>
          <w:szCs w:val="24"/>
        </w:rPr>
        <w:t>(0), 1–14. https://doi.org/10.1080/13546783.2020.1813806</w:t>
      </w:r>
    </w:p>
    <w:p w14:paraId="72B345A8"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Susilo, M. E., Yustitia, S., &amp; Afifi, S. (2020). </w:t>
      </w:r>
      <w:r w:rsidRPr="005D00CC">
        <w:rPr>
          <w:i/>
          <w:iCs/>
          <w:noProof/>
          <w:sz w:val="24"/>
          <w:szCs w:val="24"/>
        </w:rPr>
        <w:t>Intergeneration Comparison of the Spread Pattern of Hoax: Perbandingan Pola Penyebaran Hoaks Antargenerasi</w:t>
      </w:r>
      <w:r w:rsidRPr="005D00CC">
        <w:rPr>
          <w:noProof/>
          <w:sz w:val="24"/>
          <w:szCs w:val="24"/>
        </w:rPr>
        <w:t xml:space="preserve">. </w:t>
      </w:r>
      <w:r w:rsidRPr="005D00CC">
        <w:rPr>
          <w:i/>
          <w:iCs/>
          <w:noProof/>
          <w:sz w:val="24"/>
          <w:szCs w:val="24"/>
        </w:rPr>
        <w:t>5</w:t>
      </w:r>
      <w:r w:rsidRPr="005D00CC">
        <w:rPr>
          <w:noProof/>
          <w:sz w:val="24"/>
          <w:szCs w:val="24"/>
        </w:rPr>
        <w:t>(1), 50–62.</w:t>
      </w:r>
    </w:p>
    <w:p w14:paraId="71546427" w14:textId="77777777" w:rsid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Viswanath, K., Lee, E. W. J., &amp; Pinnamaneni, R. (2020). We Need the Lens of Equity in COVID-19 Communication. </w:t>
      </w:r>
      <w:r w:rsidRPr="005D00CC">
        <w:rPr>
          <w:i/>
          <w:iCs/>
          <w:noProof/>
          <w:sz w:val="24"/>
          <w:szCs w:val="24"/>
        </w:rPr>
        <w:t>Health Communication</w:t>
      </w:r>
      <w:r w:rsidRPr="005D00CC">
        <w:rPr>
          <w:noProof/>
          <w:sz w:val="24"/>
          <w:szCs w:val="24"/>
        </w:rPr>
        <w:t xml:space="preserve">, </w:t>
      </w:r>
      <w:r w:rsidRPr="005D00CC">
        <w:rPr>
          <w:i/>
          <w:iCs/>
          <w:noProof/>
          <w:sz w:val="24"/>
          <w:szCs w:val="24"/>
        </w:rPr>
        <w:t>35</w:t>
      </w:r>
      <w:r w:rsidRPr="005D00CC">
        <w:rPr>
          <w:noProof/>
          <w:sz w:val="24"/>
          <w:szCs w:val="24"/>
        </w:rPr>
        <w:t>(14), 1743–1746. https://doi.org/10.1080/10410236.2020.1837445</w:t>
      </w:r>
    </w:p>
    <w:p w14:paraId="46DE5F6B"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Wardle, C., &amp; Derakhshan, H. (2017). Information disorder: Toward an </w:t>
      </w:r>
      <w:r w:rsidRPr="005D00CC">
        <w:rPr>
          <w:color w:val="000000" w:themeColor="text1"/>
          <w:sz w:val="24"/>
          <w:szCs w:val="24"/>
          <w:lang w:val="en"/>
        </w:rPr>
        <w:lastRenderedPageBreak/>
        <w:t xml:space="preserve">interdisciplinary framework for research and policy making. </w:t>
      </w:r>
      <w:r w:rsidRPr="005D00CC">
        <w:rPr>
          <w:i/>
          <w:color w:val="000000" w:themeColor="text1"/>
          <w:sz w:val="24"/>
          <w:szCs w:val="24"/>
          <w:lang w:val="en"/>
        </w:rPr>
        <w:t>Council of Europe Report</w:t>
      </w:r>
      <w:r w:rsidRPr="005D00CC">
        <w:rPr>
          <w:color w:val="000000" w:themeColor="text1"/>
          <w:sz w:val="24"/>
          <w:szCs w:val="24"/>
          <w:lang w:val="en"/>
        </w:rPr>
        <w:t xml:space="preserve">, </w:t>
      </w:r>
      <w:r w:rsidRPr="005D00CC">
        <w:rPr>
          <w:i/>
          <w:color w:val="000000" w:themeColor="text1"/>
          <w:sz w:val="24"/>
          <w:szCs w:val="24"/>
          <w:lang w:val="en"/>
        </w:rPr>
        <w:t>27</w:t>
      </w:r>
      <w:r w:rsidRPr="005D00CC">
        <w:rPr>
          <w:color w:val="000000" w:themeColor="text1"/>
          <w:sz w:val="24"/>
          <w:szCs w:val="24"/>
          <w:lang w:val="en"/>
        </w:rPr>
        <w:t>.</w:t>
      </w:r>
    </w:p>
    <w:p w14:paraId="57231F35" w14:textId="77777777" w:rsid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Warren, T. (2020, April 4). </w:t>
      </w:r>
      <w:r w:rsidRPr="005D00CC">
        <w:rPr>
          <w:i/>
          <w:color w:val="000000" w:themeColor="text1"/>
          <w:sz w:val="24"/>
          <w:szCs w:val="24"/>
          <w:lang w:val="en"/>
        </w:rPr>
        <w:t>British 5G towers are being set on fire because of coronavirus conspiracy theories</w:t>
      </w:r>
      <w:r w:rsidRPr="005D00CC">
        <w:rPr>
          <w:color w:val="000000" w:themeColor="text1"/>
          <w:sz w:val="24"/>
          <w:szCs w:val="24"/>
          <w:lang w:val="en"/>
        </w:rPr>
        <w:t>. The Verge. https://www.theverge.com/2020/4/4/21207927/5g-towers-burning-uk-coronavirus-conspiracy-theory-link</w:t>
      </w:r>
    </w:p>
    <w:p w14:paraId="1CBE3333" w14:textId="7971276A" w:rsidR="005D00CC" w:rsidRPr="005D00CC" w:rsidRDefault="005D00CC" w:rsidP="005D00CC">
      <w:pPr>
        <w:widowControl w:val="0"/>
        <w:autoSpaceDE w:val="0"/>
        <w:autoSpaceDN w:val="0"/>
        <w:adjustRightInd w:val="0"/>
        <w:ind w:left="480" w:hanging="480"/>
        <w:jc w:val="both"/>
        <w:rPr>
          <w:noProof/>
          <w:sz w:val="24"/>
          <w:szCs w:val="24"/>
        </w:rPr>
      </w:pPr>
      <w:r w:rsidRPr="005D00CC">
        <w:rPr>
          <w:color w:val="000000" w:themeColor="text1"/>
          <w:sz w:val="24"/>
          <w:szCs w:val="24"/>
          <w:lang w:val="en"/>
        </w:rPr>
        <w:t xml:space="preserve">We Are Social. (2019). </w:t>
      </w:r>
      <w:r w:rsidRPr="005D00CC">
        <w:rPr>
          <w:i/>
          <w:color w:val="000000" w:themeColor="text1"/>
          <w:sz w:val="24"/>
          <w:szCs w:val="24"/>
          <w:lang w:val="en"/>
        </w:rPr>
        <w:t>The Global State of Digital in October 2019—We Are Social</w:t>
      </w:r>
      <w:r w:rsidRPr="005D00CC">
        <w:rPr>
          <w:color w:val="000000" w:themeColor="text1"/>
          <w:sz w:val="24"/>
          <w:szCs w:val="24"/>
          <w:lang w:val="en"/>
        </w:rPr>
        <w:t>. https://wearesocial.com/blog/2019/10/the-global-state-of-digital-in-october-2019</w:t>
      </w:r>
      <w:bookmarkStart w:id="0" w:name="_GoBack"/>
      <w:bookmarkEnd w:id="0"/>
    </w:p>
    <w:p w14:paraId="047A0AF6" w14:textId="77777777" w:rsidR="005D00CC" w:rsidRPr="005D00CC" w:rsidRDefault="005D00CC" w:rsidP="005D00CC">
      <w:pPr>
        <w:widowControl w:val="0"/>
        <w:autoSpaceDE w:val="0"/>
        <w:autoSpaceDN w:val="0"/>
        <w:adjustRightInd w:val="0"/>
        <w:ind w:left="480" w:hanging="480"/>
        <w:jc w:val="both"/>
        <w:rPr>
          <w:noProof/>
          <w:sz w:val="24"/>
          <w:szCs w:val="24"/>
        </w:rPr>
      </w:pPr>
      <w:r w:rsidRPr="005D00CC">
        <w:rPr>
          <w:noProof/>
          <w:sz w:val="24"/>
          <w:szCs w:val="24"/>
        </w:rPr>
        <w:t xml:space="preserve">Zajc, M. (2015). The Social Media Dispositive and Monetization of User-Generated Content. </w:t>
      </w:r>
      <w:r w:rsidRPr="005D00CC">
        <w:rPr>
          <w:i/>
          <w:iCs/>
          <w:noProof/>
          <w:sz w:val="24"/>
          <w:szCs w:val="24"/>
        </w:rPr>
        <w:t>Information Society</w:t>
      </w:r>
      <w:r w:rsidRPr="005D00CC">
        <w:rPr>
          <w:noProof/>
          <w:sz w:val="24"/>
          <w:szCs w:val="24"/>
        </w:rPr>
        <w:t xml:space="preserve">, </w:t>
      </w:r>
      <w:r w:rsidRPr="005D00CC">
        <w:rPr>
          <w:i/>
          <w:iCs/>
          <w:noProof/>
          <w:sz w:val="24"/>
          <w:szCs w:val="24"/>
        </w:rPr>
        <w:t>31</w:t>
      </w:r>
      <w:r w:rsidRPr="005D00CC">
        <w:rPr>
          <w:noProof/>
          <w:sz w:val="24"/>
          <w:szCs w:val="24"/>
        </w:rPr>
        <w:t>(1), 61–67. https://doi.org/10.1080/01972243.2015.977636</w:t>
      </w:r>
    </w:p>
    <w:p w14:paraId="637D4B95" w14:textId="34367386" w:rsidR="00D12638" w:rsidRPr="005D00CC" w:rsidRDefault="00D12638" w:rsidP="005D00CC">
      <w:pPr>
        <w:jc w:val="both"/>
        <w:rPr>
          <w:sz w:val="24"/>
          <w:szCs w:val="24"/>
        </w:rPr>
      </w:pPr>
      <w:r w:rsidRPr="005D00CC">
        <w:rPr>
          <w:sz w:val="24"/>
          <w:szCs w:val="24"/>
        </w:rPr>
        <w:fldChar w:fldCharType="end"/>
      </w:r>
    </w:p>
    <w:sectPr w:rsidR="00D12638" w:rsidRPr="005D00CC" w:rsidSect="005F3763">
      <w:headerReference w:type="even" r:id="rId10"/>
      <w:headerReference w:type="default" r:id="rId11"/>
      <w:footerReference w:type="even" r:id="rId12"/>
      <w:footerReference w:type="default" r:id="rId13"/>
      <w:headerReference w:type="first" r:id="rId14"/>
      <w:footerReference w:type="first" r:id="rId15"/>
      <w:pgSz w:w="11907" w:h="16840" w:code="9"/>
      <w:pgMar w:top="1699" w:right="1699" w:bottom="1699" w:left="1699" w:header="1138" w:footer="1138" w:gutter="0"/>
      <w:pgNumType w:start="5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0221" w14:textId="77777777" w:rsidR="00B3572D" w:rsidRDefault="00B3572D">
      <w:r>
        <w:separator/>
      </w:r>
    </w:p>
  </w:endnote>
  <w:endnote w:type="continuationSeparator" w:id="0">
    <w:p w14:paraId="00D46318" w14:textId="77777777" w:rsidR="00B3572D" w:rsidRDefault="00B3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ABBA" w14:textId="77777777" w:rsidR="004226CF" w:rsidRPr="006B0308" w:rsidRDefault="00B3572D" w:rsidP="00D406B2">
    <w:pPr>
      <w:pStyle w:val="Header"/>
      <w:tabs>
        <w:tab w:val="clear" w:pos="4320"/>
        <w:tab w:val="clear" w:pos="8640"/>
      </w:tabs>
      <w:ind w:right="45"/>
      <w:jc w:val="right"/>
    </w:pPr>
    <w:r>
      <w:rPr>
        <w:rFonts w:ascii="Arial" w:hAnsi="Arial" w:cs="Arial"/>
        <w:b/>
        <w:noProof/>
      </w:rPr>
      <w:pict w14:anchorId="00FEAF0F">
        <v:line id="_x0000_s2051" style="position:absolute;left:0;text-align:left;z-index:251658752" from="-3.2pt,-2.25pt" to="426.9pt,-2.25pt"/>
      </w:pict>
    </w:r>
    <w:r w:rsidR="004226CF">
      <w:rPr>
        <w:lang w:val="id-ID"/>
      </w:rPr>
      <w:t xml:space="preserve"> </w:t>
    </w:r>
    <w:r w:rsidR="004226CF" w:rsidRPr="00463BC0">
      <w:rPr>
        <w:i/>
      </w:rPr>
      <w:t>Title of Paper</w:t>
    </w:r>
    <w:r w:rsidR="004226CF">
      <w:rPr>
        <w:i/>
      </w:rPr>
      <w:t xml:space="preserve"> </w:t>
    </w:r>
    <w:r w:rsidR="004226CF" w:rsidRPr="00463BC0">
      <w:rPr>
        <w:i/>
      </w:rPr>
      <w:t>..</w:t>
    </w:r>
    <w:r w:rsidR="004226CF">
      <w:rPr>
        <w:i/>
        <w:lang w:val="id-ID"/>
      </w:rPr>
      <w:t xml:space="preserve">. </w:t>
    </w:r>
    <w:r w:rsidR="004226CF" w:rsidRPr="00463BC0">
      <w:rPr>
        <w:i/>
      </w:rPr>
      <w:t>(First Author)</w:t>
    </w:r>
  </w:p>
  <w:p w14:paraId="29E6F9D4" w14:textId="77777777" w:rsidR="004226CF" w:rsidRPr="008B04B3" w:rsidRDefault="004226CF"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576C" w14:textId="77777777" w:rsidR="004226CF" w:rsidRPr="00D406B2" w:rsidRDefault="00B3572D" w:rsidP="00D406B2">
    <w:pPr>
      <w:pStyle w:val="Header"/>
      <w:tabs>
        <w:tab w:val="clear" w:pos="4320"/>
        <w:tab w:val="clear" w:pos="8640"/>
      </w:tabs>
      <w:ind w:right="45"/>
    </w:pPr>
    <w:r>
      <w:rPr>
        <w:rFonts w:ascii="Arial" w:hAnsi="Arial" w:cs="Arial"/>
        <w:b/>
        <w:noProof/>
      </w:rPr>
      <w:pict w14:anchorId="458E773D">
        <v:line id="_x0000_s2052" style="position:absolute;z-index:251660800" from="-3.2pt,-2.25pt" to="426.9pt,-2.25pt"/>
      </w:pict>
    </w:r>
    <w:r w:rsidR="004226CF" w:rsidRPr="006B0308">
      <w:rPr>
        <w:b/>
        <w:bCs/>
        <w:lang w:val="id-ID"/>
      </w:rPr>
      <w:t xml:space="preserve">Jurnal </w:t>
    </w:r>
    <w:r w:rsidR="004226CF">
      <w:rPr>
        <w:b/>
        <w:bCs/>
      </w:rPr>
      <w:t>ASPIKOM</w:t>
    </w:r>
    <w:r w:rsidR="004226CF" w:rsidRPr="006B0308">
      <w:t>, Vol.</w:t>
    </w:r>
    <w:r w:rsidR="004226CF" w:rsidRPr="006B0308">
      <w:rPr>
        <w:lang w:val="id-ID"/>
      </w:rPr>
      <w:t xml:space="preserve"> ...</w:t>
    </w:r>
    <w:r w:rsidR="004226CF" w:rsidRPr="006B0308">
      <w:t>, No.</w:t>
    </w:r>
    <w:r w:rsidR="004226CF" w:rsidRPr="006B0308">
      <w:rPr>
        <w:lang w:val="id-ID"/>
      </w:rPr>
      <w:t xml:space="preserve"> ...</w:t>
    </w:r>
    <w:r w:rsidR="004226CF" w:rsidRPr="006B0308">
      <w:t>, J</w:t>
    </w:r>
    <w:r w:rsidR="004226CF" w:rsidRPr="006B0308">
      <w:rPr>
        <w:lang w:val="id-ID"/>
      </w:rPr>
      <w:t>anuary or July</w:t>
    </w:r>
    <w:r w:rsidR="004226CF" w:rsidRPr="006B0308">
      <w:t xml:space="preserve"> </w:t>
    </w:r>
    <w:r w:rsidR="004226CF" w:rsidRPr="006B0308">
      <w:rPr>
        <w:lang w:val="id-ID"/>
      </w:rPr>
      <w:t>2</w:t>
    </w:r>
    <w:r w:rsidR="004226CF" w:rsidRPr="006B0308">
      <w:t>0</w:t>
    </w:r>
    <w:r w:rsidR="004226CF" w:rsidRPr="006B0308">
      <w:rPr>
        <w:lang w:val="id-ID"/>
      </w:rPr>
      <w:t>..</w:t>
    </w:r>
    <w:r w:rsidR="004226CF" w:rsidRPr="006B0308">
      <w:t xml:space="preserve">, pp. </w:t>
    </w:r>
    <w:r w:rsidR="004226CF" w:rsidRPr="006B0308">
      <w:rPr>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2883" w14:textId="77777777" w:rsidR="004226CF" w:rsidRPr="004C0BEB" w:rsidRDefault="004226CF" w:rsidP="0075769A">
    <w:pPr>
      <w:pStyle w:val="Footer"/>
      <w:pBdr>
        <w:top w:val="single" w:sz="4" w:space="1" w:color="auto"/>
      </w:pBdr>
      <w:rPr>
        <w:i/>
        <w:szCs w:val="18"/>
        <w:lang w:val="id-ID"/>
      </w:rPr>
    </w:pPr>
    <w:r>
      <w:rPr>
        <w:rFonts w:ascii="Cambria" w:hAnsi="Cambria"/>
        <w:b/>
      </w:rPr>
      <w:t>Article</w:t>
    </w:r>
    <w:r w:rsidRPr="00306B92">
      <w:rPr>
        <w:rFonts w:ascii="Cambria" w:hAnsi="Cambria"/>
        <w:b/>
      </w:rPr>
      <w:t xml:space="preserve"> </w:t>
    </w:r>
    <w:r>
      <w:rPr>
        <w:rFonts w:ascii="Cambria" w:hAnsi="Cambria"/>
        <w:b/>
      </w:rPr>
      <w:t>History</w:t>
    </w:r>
    <w:r w:rsidRPr="00306B92">
      <w:rPr>
        <w:rFonts w:ascii="Cambria" w:hAnsi="Cambria"/>
        <w:b/>
      </w:rPr>
      <w:t>:</w:t>
    </w:r>
    <w:r>
      <w:rPr>
        <w:rFonts w:ascii="Cambria" w:hAnsi="Cambria"/>
        <w:b/>
        <w:lang w:val="id-ID"/>
      </w:rPr>
      <w:t xml:space="preserve"> </w:t>
    </w:r>
    <w:r w:rsidRPr="004C0BEB">
      <w:rPr>
        <w:i/>
        <w:szCs w:val="18"/>
      </w:rPr>
      <w:t xml:space="preserve">Received </w:t>
    </w:r>
    <w:r>
      <w:rPr>
        <w:i/>
        <w:szCs w:val="18"/>
        <w:lang w:val="id-ID"/>
      </w:rPr>
      <w:t>...</w:t>
    </w:r>
    <w:r w:rsidRPr="004C0BEB">
      <w:rPr>
        <w:i/>
        <w:szCs w:val="18"/>
      </w:rPr>
      <w:t xml:space="preserve">; Revised </w:t>
    </w:r>
    <w:r>
      <w:rPr>
        <w:i/>
        <w:szCs w:val="18"/>
        <w:lang w:val="id-ID"/>
      </w:rPr>
      <w:t>...</w:t>
    </w:r>
    <w:r w:rsidRPr="004C0BEB">
      <w:rPr>
        <w:i/>
        <w:szCs w:val="18"/>
      </w:rPr>
      <w:t xml:space="preserve">; Accepted </w:t>
    </w:r>
    <w:r>
      <w:rPr>
        <w:i/>
        <w:szCs w:val="18"/>
        <w:lang w:val="id-ID"/>
      </w:rPr>
      <w:t>...;</w:t>
    </w:r>
    <w:r w:rsidRPr="004C0BEB">
      <w:rPr>
        <w:rFonts w:ascii="Cambria" w:hAnsi="Cambria"/>
      </w:rPr>
      <w:t xml:space="preserve"> </w:t>
    </w:r>
    <w:r w:rsidRPr="004C0BEB">
      <w:rPr>
        <w:rFonts w:ascii="Cambria" w:hAnsi="Cambria"/>
        <w:i/>
      </w:rPr>
      <w:t>Published ...</w:t>
    </w:r>
    <w:r w:rsidRPr="004C0BEB">
      <w:rPr>
        <w:i/>
        <w:iCs/>
      </w:rPr>
      <w:t xml:space="preserve"> </w:t>
    </w:r>
    <w:r>
      <w:rPr>
        <w:i/>
        <w:szCs w:val="18"/>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0D62" w14:textId="77777777" w:rsidR="00B3572D" w:rsidRDefault="00B3572D">
      <w:r>
        <w:separator/>
      </w:r>
    </w:p>
  </w:footnote>
  <w:footnote w:type="continuationSeparator" w:id="0">
    <w:p w14:paraId="77EC6F15" w14:textId="77777777" w:rsidR="00B3572D" w:rsidRDefault="00B3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38F5" w14:textId="261D7E45" w:rsidR="004226CF" w:rsidRPr="00D406B2" w:rsidRDefault="004226CF" w:rsidP="005F3763">
    <w:pPr>
      <w:pStyle w:val="Header"/>
      <w:framePr w:wrap="around" w:vAnchor="text" w:hAnchor="page" w:x="1674" w:y="29"/>
      <w:rPr>
        <w:rStyle w:val="PageNumber"/>
      </w:rPr>
    </w:pPr>
    <w:r w:rsidRPr="00D406B2">
      <w:rPr>
        <w:rStyle w:val="PageNumber"/>
      </w:rPr>
      <w:fldChar w:fldCharType="begin"/>
    </w:r>
    <w:r w:rsidRPr="00D406B2">
      <w:rPr>
        <w:rStyle w:val="PageNumber"/>
      </w:rPr>
      <w:instrText xml:space="preserve">PAGE  </w:instrText>
    </w:r>
    <w:r w:rsidRPr="00D406B2">
      <w:rPr>
        <w:rStyle w:val="PageNumber"/>
      </w:rPr>
      <w:fldChar w:fldCharType="separate"/>
    </w:r>
    <w:r>
      <w:rPr>
        <w:rStyle w:val="PageNumber"/>
        <w:noProof/>
      </w:rPr>
      <w:t>502</w:t>
    </w:r>
    <w:r w:rsidRPr="00D406B2">
      <w:rPr>
        <w:rStyle w:val="PageNumber"/>
      </w:rPr>
      <w:fldChar w:fldCharType="end"/>
    </w:r>
    <w:r>
      <w:rPr>
        <w:rStyle w:val="PageNumber"/>
      </w:rPr>
      <w:t xml:space="preserve"> </w:t>
    </w:r>
    <w:r>
      <w:sym w:font="Wingdings" w:char="F06E"/>
    </w:r>
  </w:p>
  <w:p w14:paraId="188CD7B0" w14:textId="0F9DAA09" w:rsidR="004226CF" w:rsidRPr="008B04B3" w:rsidRDefault="00B3572D" w:rsidP="00FC117A">
    <w:pPr>
      <w:pStyle w:val="Header"/>
      <w:tabs>
        <w:tab w:val="clear" w:pos="4320"/>
        <w:tab w:val="clear" w:pos="8640"/>
        <w:tab w:val="left" w:pos="0"/>
        <w:tab w:val="right" w:pos="8505"/>
      </w:tabs>
      <w:jc w:val="center"/>
    </w:pPr>
    <w:r>
      <w:rPr>
        <w:rFonts w:ascii="Arial" w:hAnsi="Arial" w:cs="Arial"/>
        <w:b/>
        <w:noProof/>
      </w:rPr>
      <w:pict w14:anchorId="796DB67C">
        <v:line id="_x0000_s2050" style="position:absolute;left:0;text-align:left;z-index:251657728;mso-position-horizontal:center;mso-position-horizontal-relative:margin" from="0,14.85pt" to="425.2pt,14.85pt">
          <w10:wrap anchorx="margin"/>
        </v:line>
      </w:pict>
    </w:r>
    <w:r w:rsidR="004226CF">
      <w:t xml:space="preserve">                                                   </w:t>
    </w:r>
    <w:r w:rsidR="004226CF" w:rsidRPr="00DA5C16">
      <w:rPr>
        <w:lang w:val="id-ID"/>
      </w:rPr>
      <w:t>P-</w:t>
    </w:r>
    <w:r w:rsidR="004226CF" w:rsidRPr="00DA5C16">
      <w:t xml:space="preserve">ISSN: </w:t>
    </w:r>
    <w:r w:rsidR="004226CF" w:rsidRPr="00DA5C16">
      <w:rPr>
        <w:lang w:val="id-ID"/>
      </w:rPr>
      <w:t>208</w:t>
    </w:r>
    <w:r w:rsidR="004226CF">
      <w:t>7</w:t>
    </w:r>
    <w:r w:rsidR="004226CF" w:rsidRPr="00DA5C16">
      <w:t>-</w:t>
    </w:r>
    <w:r w:rsidR="004226CF">
      <w:t>0442</w:t>
    </w:r>
    <w:r w:rsidR="004226CF">
      <w:rPr>
        <w:lang w:val="id-ID"/>
      </w:rPr>
      <w:t xml:space="preserve">, E-ISSN: </w:t>
    </w:r>
    <w:r w:rsidR="004226CF" w:rsidRPr="00DA5C16">
      <w:rPr>
        <w:lang w:val="id-ID"/>
      </w:rPr>
      <w:t>25</w:t>
    </w:r>
    <w:r w:rsidR="004226CF">
      <w:t>48</w:t>
    </w:r>
    <w:r w:rsidR="004226CF" w:rsidRPr="00DA5C16">
      <w:rPr>
        <w:lang w:val="id-ID"/>
      </w:rPr>
      <w:t>-</w:t>
    </w:r>
    <w:r w:rsidR="004226CF">
      <w:t>8309</w:t>
    </w:r>
    <w:r w:rsidR="004226CF" w:rsidRPr="008B04B3">
      <w:t xml:space="preserve"> </w:t>
    </w:r>
    <w:r w:rsidR="004226CF">
      <w:rPr>
        <w:lang w:val="id-ID"/>
      </w:rPr>
      <w:t xml:space="preserve">        </w:t>
    </w:r>
    <w:r w:rsidR="004226CF">
      <w:t xml:space="preserve">             </w:t>
    </w:r>
    <w:r w:rsidR="004226CF">
      <w:rPr>
        <w:b/>
        <w:bCs/>
        <w:lang w:val="id-ID"/>
      </w:rPr>
      <w:t>Jurnal ASPIKOM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1D81" w14:textId="1FDE088A" w:rsidR="004226CF" w:rsidRPr="00DA5C16" w:rsidRDefault="004226CF" w:rsidP="005F3763">
    <w:pPr>
      <w:pStyle w:val="Header"/>
      <w:framePr w:wrap="around" w:vAnchor="text" w:hAnchor="page" w:x="9729" w:y="-15"/>
      <w:rPr>
        <w:rStyle w:val="PageNumber"/>
      </w:rPr>
    </w:pPr>
    <w:r>
      <w:sym w:font="Wingdings" w:char="F06E"/>
    </w:r>
    <w:r>
      <w:t xml:space="preserve"> </w:t>
    </w:r>
    <w:r w:rsidRPr="00DA5C16">
      <w:rPr>
        <w:rStyle w:val="PageNumber"/>
      </w:rPr>
      <w:fldChar w:fldCharType="begin"/>
    </w:r>
    <w:r w:rsidRPr="00DA5C16">
      <w:rPr>
        <w:rStyle w:val="PageNumber"/>
      </w:rPr>
      <w:instrText xml:space="preserve">PAGE  </w:instrText>
    </w:r>
    <w:r w:rsidRPr="00DA5C16">
      <w:rPr>
        <w:rStyle w:val="PageNumber"/>
      </w:rPr>
      <w:fldChar w:fldCharType="separate"/>
    </w:r>
    <w:r>
      <w:rPr>
        <w:rStyle w:val="PageNumber"/>
        <w:noProof/>
      </w:rPr>
      <w:t>503</w:t>
    </w:r>
    <w:r w:rsidRPr="00DA5C16">
      <w:rPr>
        <w:rStyle w:val="PageNumber"/>
      </w:rPr>
      <w:fldChar w:fldCharType="end"/>
    </w:r>
  </w:p>
  <w:p w14:paraId="7D9AC962" w14:textId="4D58276F" w:rsidR="004226CF" w:rsidRPr="00E474DC" w:rsidRDefault="004226CF" w:rsidP="005F3763">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sidRPr="00DA5C16">
      <w:rPr>
        <w:lang w:val="id-ID"/>
      </w:rPr>
      <w:t>P-</w:t>
    </w:r>
    <w:r w:rsidRPr="00DA5C16">
      <w:t xml:space="preserve">ISSN: </w:t>
    </w:r>
    <w:r w:rsidRPr="00DA5C16">
      <w:rPr>
        <w:lang w:val="id-ID"/>
      </w:rPr>
      <w:t>208</w:t>
    </w:r>
    <w:r>
      <w:t>7</w:t>
    </w:r>
    <w:r w:rsidRPr="00DA5C16">
      <w:t>-</w:t>
    </w:r>
    <w:r>
      <w:t>0442</w:t>
    </w:r>
    <w:r w:rsidRPr="00DA5C16">
      <w:rPr>
        <w:lang w:val="id-ID"/>
      </w:rPr>
      <w:t>, E-ISSN:</w:t>
    </w:r>
    <w:r>
      <w:t xml:space="preserve"> </w:t>
    </w:r>
    <w:r w:rsidRPr="00DA5C16">
      <w:rPr>
        <w:lang w:val="id-ID"/>
      </w:rPr>
      <w:t>25</w:t>
    </w:r>
    <w:r>
      <w:t>48</w:t>
    </w:r>
    <w:r w:rsidRPr="00DA5C16">
      <w:rPr>
        <w:lang w:val="id-ID"/>
      </w:rPr>
      <w:t>-</w:t>
    </w:r>
    <w:r>
      <w:t>8309</w:t>
    </w:r>
    <w:r>
      <w:rPr>
        <w:rFonts w:ascii="Arial" w:hAnsi="Arial" w:cs="Arial"/>
      </w:rPr>
      <w:tab/>
    </w:r>
  </w:p>
  <w:p w14:paraId="362CA79E" w14:textId="77777777" w:rsidR="004226CF" w:rsidRPr="00E474DC" w:rsidRDefault="004226C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C232" w14:textId="77777777" w:rsidR="004226CF" w:rsidRPr="006B0308" w:rsidRDefault="004226CF" w:rsidP="008B04B3">
    <w:pPr>
      <w:pStyle w:val="Header"/>
      <w:tabs>
        <w:tab w:val="clear" w:pos="4320"/>
        <w:tab w:val="clear" w:pos="8640"/>
      </w:tabs>
      <w:ind w:right="45"/>
    </w:pPr>
    <w:r w:rsidRPr="006B0308">
      <w:rPr>
        <w:b/>
        <w:bCs/>
        <w:lang w:val="id-ID"/>
      </w:rPr>
      <w:t xml:space="preserve">Jurnal </w:t>
    </w:r>
    <w:r>
      <w:rPr>
        <w:b/>
        <w:bCs/>
      </w:rPr>
      <w:t>ASPIKOM</w:t>
    </w:r>
    <w:r w:rsidRPr="006B0308">
      <w:t>, Vol.</w:t>
    </w:r>
    <w:r w:rsidRPr="006B0308">
      <w:rPr>
        <w:lang w:val="id-ID"/>
      </w:rPr>
      <w:t xml:space="preserve"> ...</w:t>
    </w:r>
    <w:r w:rsidRPr="006B0308">
      <w:t>, No.</w:t>
    </w:r>
    <w:r w:rsidRPr="006B0308">
      <w:rPr>
        <w:lang w:val="id-ID"/>
      </w:rPr>
      <w:t xml:space="preserve"> ...</w:t>
    </w:r>
    <w:r w:rsidRPr="006B0308">
      <w:t>, J</w:t>
    </w:r>
    <w:r w:rsidRPr="006B0308">
      <w:rPr>
        <w:lang w:val="id-ID"/>
      </w:rPr>
      <w:t>anuary or July</w:t>
    </w:r>
    <w:r w:rsidRPr="006B0308">
      <w:t xml:space="preserve"> </w:t>
    </w:r>
    <w:r w:rsidRPr="006B0308">
      <w:rPr>
        <w:lang w:val="id-ID"/>
      </w:rPr>
      <w:t>2</w:t>
    </w:r>
    <w:r w:rsidRPr="006B0308">
      <w:t>0</w:t>
    </w:r>
    <w:r w:rsidRPr="006B0308">
      <w:rPr>
        <w:lang w:val="id-ID"/>
      </w:rPr>
      <w:t>..</w:t>
    </w:r>
    <w:r w:rsidRPr="006B0308">
      <w:t xml:space="preserve">, pp. </w:t>
    </w:r>
    <w:r w:rsidRPr="006B0308">
      <w:rPr>
        <w:lang w:val="id-ID"/>
      </w:rPr>
      <w:t>...-...</w:t>
    </w:r>
  </w:p>
  <w:p w14:paraId="1826D201" w14:textId="77777777" w:rsidR="004226CF" w:rsidRPr="001F48F7" w:rsidRDefault="004226CF" w:rsidP="0098020E">
    <w:pPr>
      <w:pStyle w:val="Header"/>
      <w:tabs>
        <w:tab w:val="clear" w:pos="4320"/>
        <w:tab w:val="clear" w:pos="8640"/>
      </w:tabs>
      <w:ind w:right="45"/>
    </w:pPr>
    <w:r w:rsidRPr="00DA5C16">
      <w:rPr>
        <w:lang w:val="id-ID"/>
      </w:rPr>
      <w:t>P-</w:t>
    </w:r>
    <w:r w:rsidRPr="00DA5C16">
      <w:t xml:space="preserve">ISSN: </w:t>
    </w:r>
    <w:r w:rsidRPr="00DA5C16">
      <w:rPr>
        <w:lang w:val="id-ID"/>
      </w:rPr>
      <w:t>208</w:t>
    </w:r>
    <w:r>
      <w:t>7</w:t>
    </w:r>
    <w:r w:rsidRPr="00DA5C16">
      <w:t>-</w:t>
    </w:r>
    <w:r>
      <w:t>0442</w:t>
    </w:r>
    <w:r w:rsidRPr="00DA5C16">
      <w:rPr>
        <w:lang w:val="id-ID"/>
      </w:rPr>
      <w:t>, E-ISSN: 25</w:t>
    </w:r>
    <w:r>
      <w:t>48</w:t>
    </w:r>
    <w:r w:rsidRPr="00DA5C16">
      <w:rPr>
        <w:lang w:val="id-ID"/>
      </w:rPr>
      <w:t>-</w:t>
    </w:r>
    <w:r>
      <w:t>8309</w:t>
    </w:r>
  </w:p>
  <w:p w14:paraId="2453420A" w14:textId="77777777" w:rsidR="004226CF" w:rsidRPr="008B04B3" w:rsidRDefault="004226CF" w:rsidP="0098020E">
    <w:pPr>
      <w:pStyle w:val="Header"/>
      <w:tabs>
        <w:tab w:val="clear" w:pos="4320"/>
        <w:tab w:val="clear" w:pos="8640"/>
        <w:tab w:val="right" w:pos="8505"/>
      </w:tabs>
      <w:rPr>
        <w:rStyle w:val="PageNumber"/>
        <w:rFonts w:ascii="Arial" w:hAnsi="Arial" w:cs="Arial"/>
      </w:rPr>
    </w:pPr>
    <w:r w:rsidRPr="006B0308">
      <w:rPr>
        <w:rStyle w:val="PageNumber"/>
        <w:b/>
        <w:lang w:val="it-IT"/>
      </w:rPr>
      <w:t>DOI:</w:t>
    </w:r>
    <w:r w:rsidRPr="006B0308">
      <w:rPr>
        <w:rStyle w:val="PageNumber"/>
        <w:b/>
        <w:lang w:val="id-ID"/>
      </w:rPr>
      <w:t xml:space="preserve"> </w:t>
    </w:r>
    <w:r w:rsidRPr="006B0308">
      <w:rPr>
        <w:rStyle w:val="PageNumber"/>
        <w:lang w:val="id-ID"/>
      </w:rPr>
      <w:t>...</w:t>
    </w:r>
    <w:r w:rsidRPr="006B0308">
      <w:rPr>
        <w:rStyle w:val="PageNumber"/>
        <w:lang w:val="it-IT"/>
      </w:rPr>
      <w:tab/>
    </w:r>
    <w:r w:rsidRPr="006B0308">
      <w:sym w:font="Wingdings" w:char="F06E"/>
    </w:r>
    <w:r w:rsidRPr="006B0308">
      <w:t xml:space="preserve">  </w:t>
    </w:r>
    <w:r w:rsidRPr="006B0308">
      <w:rPr>
        <w:rStyle w:val="PageNumber"/>
      </w:rPr>
      <w:fldChar w:fldCharType="begin"/>
    </w:r>
    <w:r w:rsidRPr="006B0308">
      <w:rPr>
        <w:rStyle w:val="PageNumber"/>
      </w:rPr>
      <w:instrText xml:space="preserve"> PAGE </w:instrText>
    </w:r>
    <w:r w:rsidRPr="006B0308">
      <w:rPr>
        <w:rStyle w:val="PageNumber"/>
      </w:rPr>
      <w:fldChar w:fldCharType="separate"/>
    </w:r>
    <w:r>
      <w:rPr>
        <w:rStyle w:val="PageNumber"/>
        <w:noProof/>
      </w:rPr>
      <w:t>501</w:t>
    </w:r>
    <w:r w:rsidRPr="006B0308">
      <w:rPr>
        <w:rStyle w:val="PageNumber"/>
      </w:rPr>
      <w:fldChar w:fldCharType="end"/>
    </w:r>
  </w:p>
  <w:p w14:paraId="29192CA9" w14:textId="77777777" w:rsidR="004226CF" w:rsidRPr="008B04B3" w:rsidRDefault="00B3572D"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w:pict w14:anchorId="0581401F">
        <v:line id="_x0000_s2049" style="position:absolute;left:0;text-align:left;z-index:251656704" from="0,6.2pt" to="423pt,6.2pt"/>
      </w:pict>
    </w:r>
    <w:r w:rsidR="004226CF"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462"/>
    <w:multiLevelType w:val="multilevel"/>
    <w:tmpl w:val="178E2B8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2F776A7"/>
    <w:multiLevelType w:val="multilevel"/>
    <w:tmpl w:val="7E88AF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63393F"/>
    <w:multiLevelType w:val="multilevel"/>
    <w:tmpl w:val="AA7A8E5A"/>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4" w15:restartNumberingAfterBreak="0">
    <w:nsid w:val="08943814"/>
    <w:multiLevelType w:val="hybridMultilevel"/>
    <w:tmpl w:val="1AD60C0C"/>
    <w:lvl w:ilvl="0" w:tplc="564C23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DF4F9B"/>
    <w:multiLevelType w:val="multilevel"/>
    <w:tmpl w:val="4A72813E"/>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360"/>
      </w:pPr>
      <w:rPr>
        <w:u w:val="none"/>
      </w:rPr>
    </w:lvl>
  </w:abstractNum>
  <w:abstractNum w:abstractNumId="7" w15:restartNumberingAfterBreak="0">
    <w:nsid w:val="12F16466"/>
    <w:multiLevelType w:val="multilevel"/>
    <w:tmpl w:val="D9A05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62A0039"/>
    <w:multiLevelType w:val="multilevel"/>
    <w:tmpl w:val="64F2F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370040"/>
    <w:multiLevelType w:val="hybridMultilevel"/>
    <w:tmpl w:val="1AD60C0C"/>
    <w:lvl w:ilvl="0" w:tplc="564C23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6006F"/>
    <w:multiLevelType w:val="multilevel"/>
    <w:tmpl w:val="ADAE8E40"/>
    <w:lvl w:ilvl="0">
      <w:start w:val="1"/>
      <w:numFmt w:val="decimal"/>
      <w:lvlText w:val="(%1)"/>
      <w:lvlJc w:val="left"/>
      <w:pPr>
        <w:ind w:left="786" w:hanging="360"/>
      </w:pPr>
      <w:rPr>
        <w:rFonts w:ascii="Times New Roman" w:eastAsia="Times New Roman" w:hAnsi="Times New Roman" w:cs="Times New Roman"/>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4" w15:restartNumberingAfterBreak="0">
    <w:nsid w:val="2D94317B"/>
    <w:multiLevelType w:val="multilevel"/>
    <w:tmpl w:val="D2E66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F31279B"/>
    <w:multiLevelType w:val="multilevel"/>
    <w:tmpl w:val="4136214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2F4117F3"/>
    <w:multiLevelType w:val="multilevel"/>
    <w:tmpl w:val="DB3AC546"/>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7" w15:restartNumberingAfterBreak="0">
    <w:nsid w:val="32603DD7"/>
    <w:multiLevelType w:val="multilevel"/>
    <w:tmpl w:val="353A5AB6"/>
    <w:lvl w:ilvl="0">
      <w:start w:val="1"/>
      <w:numFmt w:val="decimal"/>
      <w:lvlText w:val="%1."/>
      <w:lvlJc w:val="left"/>
      <w:pPr>
        <w:ind w:left="1069" w:hanging="360"/>
      </w:pPr>
      <w:rPr>
        <w:u w:val="none"/>
      </w:rPr>
    </w:lvl>
    <w:lvl w:ilvl="1">
      <w:start w:val="1"/>
      <w:numFmt w:val="decimal"/>
      <w:lvlText w:val="%2."/>
      <w:lvlJc w:val="left"/>
      <w:pPr>
        <w:ind w:left="1789" w:hanging="360"/>
      </w:pPr>
      <w:rPr>
        <w:u w:val="none"/>
      </w:rPr>
    </w:lvl>
    <w:lvl w:ilvl="2">
      <w:start w:val="1"/>
      <w:numFmt w:val="lowerRoman"/>
      <w:lvlText w:val="%3."/>
      <w:lvlJc w:val="righ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360"/>
      </w:pPr>
      <w:rPr>
        <w:u w:val="none"/>
      </w:rPr>
    </w:lvl>
  </w:abstractNum>
  <w:abstractNum w:abstractNumId="18" w15:restartNumberingAfterBreak="0">
    <w:nsid w:val="339100DB"/>
    <w:multiLevelType w:val="multilevel"/>
    <w:tmpl w:val="113EFA18"/>
    <w:lvl w:ilvl="0">
      <w:start w:val="1"/>
      <w:numFmt w:val="decimal"/>
      <w:lvlText w:val="%1."/>
      <w:lvlJc w:val="left"/>
      <w:pPr>
        <w:ind w:left="1069" w:hanging="360"/>
      </w:pPr>
      <w:rPr>
        <w:u w:val="none"/>
      </w:rPr>
    </w:lvl>
    <w:lvl w:ilvl="1">
      <w:start w:val="1"/>
      <w:numFmt w:val="lowerLetter"/>
      <w:lvlText w:val="%2."/>
      <w:lvlJc w:val="left"/>
      <w:pPr>
        <w:ind w:left="1789" w:hanging="360"/>
      </w:pPr>
      <w:rPr>
        <w:u w:val="none"/>
      </w:rPr>
    </w:lvl>
    <w:lvl w:ilvl="2">
      <w:start w:val="1"/>
      <w:numFmt w:val="lowerRoman"/>
      <w:lvlText w:val="%3."/>
      <w:lvlJc w:val="right"/>
      <w:pPr>
        <w:ind w:left="2509" w:hanging="360"/>
      </w:pPr>
      <w:rPr>
        <w:u w:val="none"/>
      </w:rPr>
    </w:lvl>
    <w:lvl w:ilvl="3">
      <w:start w:val="1"/>
      <w:numFmt w:val="decimal"/>
      <w:lvlText w:val="%4."/>
      <w:lvlJc w:val="left"/>
      <w:pPr>
        <w:ind w:left="3229" w:hanging="360"/>
      </w:pPr>
      <w:rPr>
        <w:u w:val="none"/>
      </w:rPr>
    </w:lvl>
    <w:lvl w:ilvl="4">
      <w:start w:val="1"/>
      <w:numFmt w:val="lowerLetter"/>
      <w:lvlText w:val="%5."/>
      <w:lvlJc w:val="left"/>
      <w:pPr>
        <w:ind w:left="3949" w:hanging="360"/>
      </w:pPr>
      <w:rPr>
        <w:u w:val="none"/>
      </w:rPr>
    </w:lvl>
    <w:lvl w:ilvl="5">
      <w:start w:val="1"/>
      <w:numFmt w:val="lowerRoman"/>
      <w:lvlText w:val="%6."/>
      <w:lvlJc w:val="right"/>
      <w:pPr>
        <w:ind w:left="4669" w:hanging="360"/>
      </w:pPr>
      <w:rPr>
        <w:u w:val="none"/>
      </w:rPr>
    </w:lvl>
    <w:lvl w:ilvl="6">
      <w:start w:val="1"/>
      <w:numFmt w:val="decimal"/>
      <w:lvlText w:val="%7."/>
      <w:lvlJc w:val="left"/>
      <w:pPr>
        <w:ind w:left="5389" w:hanging="360"/>
      </w:pPr>
      <w:rPr>
        <w:u w:val="none"/>
      </w:rPr>
    </w:lvl>
    <w:lvl w:ilvl="7">
      <w:start w:val="1"/>
      <w:numFmt w:val="lowerLetter"/>
      <w:lvlText w:val="%8."/>
      <w:lvlJc w:val="left"/>
      <w:pPr>
        <w:ind w:left="6109" w:hanging="360"/>
      </w:pPr>
      <w:rPr>
        <w:u w:val="none"/>
      </w:rPr>
    </w:lvl>
    <w:lvl w:ilvl="8">
      <w:start w:val="1"/>
      <w:numFmt w:val="lowerRoman"/>
      <w:lvlText w:val="%9."/>
      <w:lvlJc w:val="right"/>
      <w:pPr>
        <w:ind w:left="6829" w:hanging="360"/>
      </w:pPr>
      <w:rPr>
        <w:u w:val="none"/>
      </w:rPr>
    </w:lvl>
  </w:abstractNum>
  <w:abstractNum w:abstractNumId="1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725595"/>
    <w:multiLevelType w:val="multilevel"/>
    <w:tmpl w:val="190E9C18"/>
    <w:lvl w:ilvl="0">
      <w:start w:val="1"/>
      <w:numFmt w:val="lowerLetter"/>
      <w:lvlText w:val="%1."/>
      <w:lvlJc w:val="left"/>
      <w:pPr>
        <w:ind w:left="785" w:hanging="360"/>
      </w:pPr>
      <w:rPr>
        <w:u w:val="none"/>
      </w:rPr>
    </w:lvl>
    <w:lvl w:ilvl="1">
      <w:start w:val="1"/>
      <w:numFmt w:val="lowerRoman"/>
      <w:lvlText w:val="%2."/>
      <w:lvlJc w:val="right"/>
      <w:pPr>
        <w:ind w:left="1505" w:hanging="360"/>
      </w:pPr>
      <w:rPr>
        <w:u w:val="none"/>
      </w:rPr>
    </w:lvl>
    <w:lvl w:ilvl="2">
      <w:start w:val="1"/>
      <w:numFmt w:val="decimal"/>
      <w:lvlText w:val="%3."/>
      <w:lvlJc w:val="left"/>
      <w:pPr>
        <w:ind w:left="2225" w:hanging="360"/>
      </w:pPr>
      <w:rPr>
        <w:u w:val="none"/>
      </w:rPr>
    </w:lvl>
    <w:lvl w:ilvl="3">
      <w:start w:val="1"/>
      <w:numFmt w:val="lowerLetter"/>
      <w:lvlText w:val="%4."/>
      <w:lvlJc w:val="left"/>
      <w:pPr>
        <w:ind w:left="2945" w:hanging="360"/>
      </w:pPr>
      <w:rPr>
        <w:u w:val="none"/>
      </w:rPr>
    </w:lvl>
    <w:lvl w:ilvl="4">
      <w:start w:val="1"/>
      <w:numFmt w:val="lowerRoman"/>
      <w:lvlText w:val="%5."/>
      <w:lvlJc w:val="right"/>
      <w:pPr>
        <w:ind w:left="3665" w:hanging="360"/>
      </w:pPr>
      <w:rPr>
        <w:u w:val="none"/>
      </w:rPr>
    </w:lvl>
    <w:lvl w:ilvl="5">
      <w:start w:val="1"/>
      <w:numFmt w:val="decimal"/>
      <w:lvlText w:val="%6."/>
      <w:lvlJc w:val="left"/>
      <w:pPr>
        <w:ind w:left="4385" w:hanging="360"/>
      </w:pPr>
      <w:rPr>
        <w:u w:val="none"/>
      </w:rPr>
    </w:lvl>
    <w:lvl w:ilvl="6">
      <w:start w:val="1"/>
      <w:numFmt w:val="lowerLetter"/>
      <w:lvlText w:val="%7."/>
      <w:lvlJc w:val="left"/>
      <w:pPr>
        <w:ind w:left="5105" w:hanging="360"/>
      </w:pPr>
      <w:rPr>
        <w:u w:val="none"/>
      </w:rPr>
    </w:lvl>
    <w:lvl w:ilvl="7">
      <w:start w:val="1"/>
      <w:numFmt w:val="lowerRoman"/>
      <w:lvlText w:val="%8."/>
      <w:lvlJc w:val="right"/>
      <w:pPr>
        <w:ind w:left="5825" w:hanging="360"/>
      </w:pPr>
      <w:rPr>
        <w:u w:val="none"/>
      </w:rPr>
    </w:lvl>
    <w:lvl w:ilvl="8">
      <w:start w:val="1"/>
      <w:numFmt w:val="decimal"/>
      <w:lvlText w:val="%9."/>
      <w:lvlJc w:val="left"/>
      <w:pPr>
        <w:ind w:left="6545" w:hanging="360"/>
      </w:pPr>
      <w:rPr>
        <w:u w:val="none"/>
      </w:rPr>
    </w:lvl>
  </w:abstractNum>
  <w:abstractNum w:abstractNumId="23"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782825"/>
    <w:multiLevelType w:val="multilevel"/>
    <w:tmpl w:val="835CF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B92CB0"/>
    <w:multiLevelType w:val="hybridMultilevel"/>
    <w:tmpl w:val="4412BDBA"/>
    <w:lvl w:ilvl="0" w:tplc="04210019">
      <w:start w:val="1"/>
      <w:numFmt w:val="lowerLetter"/>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0" w15:restartNumberingAfterBreak="0">
    <w:nsid w:val="55613849"/>
    <w:multiLevelType w:val="hybridMultilevel"/>
    <w:tmpl w:val="1AD60C0C"/>
    <w:lvl w:ilvl="0" w:tplc="564C23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F2508"/>
    <w:multiLevelType w:val="multilevel"/>
    <w:tmpl w:val="A99C6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4F685B"/>
    <w:multiLevelType w:val="multilevel"/>
    <w:tmpl w:val="8D84A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AC73BD5"/>
    <w:multiLevelType w:val="multilevel"/>
    <w:tmpl w:val="2C982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8"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C03DF"/>
    <w:multiLevelType w:val="multilevel"/>
    <w:tmpl w:val="4AE6C2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921BDB"/>
    <w:multiLevelType w:val="multilevel"/>
    <w:tmpl w:val="CC8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775D56"/>
    <w:multiLevelType w:val="hybridMultilevel"/>
    <w:tmpl w:val="90C688B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15:restartNumberingAfterBreak="0">
    <w:nsid w:val="7C965F90"/>
    <w:multiLevelType w:val="multilevel"/>
    <w:tmpl w:val="A9C0B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CFA4BFA"/>
    <w:multiLevelType w:val="multilevel"/>
    <w:tmpl w:val="EC260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6"/>
  </w:num>
  <w:num w:numId="2">
    <w:abstractNumId w:val="27"/>
  </w:num>
  <w:num w:numId="3">
    <w:abstractNumId w:val="43"/>
  </w:num>
  <w:num w:numId="4">
    <w:abstractNumId w:val="24"/>
  </w:num>
  <w:num w:numId="5">
    <w:abstractNumId w:val="34"/>
  </w:num>
  <w:num w:numId="6">
    <w:abstractNumId w:val="37"/>
  </w:num>
  <w:num w:numId="7">
    <w:abstractNumId w:val="35"/>
  </w:num>
  <w:num w:numId="8">
    <w:abstractNumId w:val="28"/>
  </w:num>
  <w:num w:numId="9">
    <w:abstractNumId w:val="21"/>
  </w:num>
  <w:num w:numId="10">
    <w:abstractNumId w:val="11"/>
  </w:num>
  <w:num w:numId="11">
    <w:abstractNumId w:val="9"/>
  </w:num>
  <w:num w:numId="12">
    <w:abstractNumId w:val="19"/>
  </w:num>
  <w:num w:numId="13">
    <w:abstractNumId w:val="12"/>
  </w:num>
  <w:num w:numId="14">
    <w:abstractNumId w:val="20"/>
  </w:num>
  <w:num w:numId="15">
    <w:abstractNumId w:val="5"/>
  </w:num>
  <w:num w:numId="16">
    <w:abstractNumId w:val="23"/>
  </w:num>
  <w:num w:numId="17">
    <w:abstractNumId w:val="26"/>
  </w:num>
  <w:num w:numId="18">
    <w:abstractNumId w:val="1"/>
  </w:num>
  <w:num w:numId="19">
    <w:abstractNumId w:val="40"/>
  </w:num>
  <w:num w:numId="20">
    <w:abstractNumId w:val="38"/>
  </w:num>
  <w:num w:numId="21">
    <w:abstractNumId w:val="39"/>
  </w:num>
  <w:num w:numId="22">
    <w:abstractNumId w:val="16"/>
  </w:num>
  <w:num w:numId="23">
    <w:abstractNumId w:val="3"/>
  </w:num>
  <w:num w:numId="24">
    <w:abstractNumId w:val="22"/>
  </w:num>
  <w:num w:numId="25">
    <w:abstractNumId w:val="42"/>
  </w:num>
  <w:num w:numId="26">
    <w:abstractNumId w:val="29"/>
  </w:num>
  <w:num w:numId="27">
    <w:abstractNumId w:val="14"/>
  </w:num>
  <w:num w:numId="28">
    <w:abstractNumId w:val="18"/>
  </w:num>
  <w:num w:numId="29">
    <w:abstractNumId w:val="2"/>
  </w:num>
  <w:num w:numId="30">
    <w:abstractNumId w:val="8"/>
  </w:num>
  <w:num w:numId="31">
    <w:abstractNumId w:val="44"/>
  </w:num>
  <w:num w:numId="32">
    <w:abstractNumId w:val="0"/>
  </w:num>
  <w:num w:numId="33">
    <w:abstractNumId w:val="7"/>
  </w:num>
  <w:num w:numId="34">
    <w:abstractNumId w:val="32"/>
  </w:num>
  <w:num w:numId="35">
    <w:abstractNumId w:val="33"/>
  </w:num>
  <w:num w:numId="36">
    <w:abstractNumId w:val="41"/>
  </w:num>
  <w:num w:numId="37">
    <w:abstractNumId w:val="25"/>
  </w:num>
  <w:num w:numId="38">
    <w:abstractNumId w:val="45"/>
  </w:num>
  <w:num w:numId="39">
    <w:abstractNumId w:val="6"/>
  </w:num>
  <w:num w:numId="40">
    <w:abstractNumId w:val="31"/>
  </w:num>
  <w:num w:numId="41">
    <w:abstractNumId w:val="15"/>
  </w:num>
  <w:num w:numId="42">
    <w:abstractNumId w:val="13"/>
  </w:num>
  <w:num w:numId="43">
    <w:abstractNumId w:val="17"/>
  </w:num>
  <w:num w:numId="44">
    <w:abstractNumId w:val="10"/>
  </w:num>
  <w:num w:numId="45">
    <w:abstractNumId w:val="30"/>
  </w:num>
  <w:num w:numId="4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bUEIgtLS0NzAxNDAyUdpeDU4uLM/DyQArNaAINfxZcsAAAA"/>
  </w:docVars>
  <w:rsids>
    <w:rsidRoot w:val="007D0AC6"/>
    <w:rsid w:val="00000F8D"/>
    <w:rsid w:val="000013CF"/>
    <w:rsid w:val="00002882"/>
    <w:rsid w:val="0000385F"/>
    <w:rsid w:val="000057F9"/>
    <w:rsid w:val="00005EFC"/>
    <w:rsid w:val="00007744"/>
    <w:rsid w:val="000106D0"/>
    <w:rsid w:val="00012CEF"/>
    <w:rsid w:val="00014633"/>
    <w:rsid w:val="00015F2A"/>
    <w:rsid w:val="000171C2"/>
    <w:rsid w:val="00017858"/>
    <w:rsid w:val="00020568"/>
    <w:rsid w:val="00020EAD"/>
    <w:rsid w:val="0002543E"/>
    <w:rsid w:val="000267A0"/>
    <w:rsid w:val="00027142"/>
    <w:rsid w:val="000279BE"/>
    <w:rsid w:val="00031383"/>
    <w:rsid w:val="000330D6"/>
    <w:rsid w:val="00034C84"/>
    <w:rsid w:val="00036E95"/>
    <w:rsid w:val="000416A3"/>
    <w:rsid w:val="000437AE"/>
    <w:rsid w:val="00044ED6"/>
    <w:rsid w:val="00046818"/>
    <w:rsid w:val="00046E2D"/>
    <w:rsid w:val="000474E3"/>
    <w:rsid w:val="00047710"/>
    <w:rsid w:val="000523C5"/>
    <w:rsid w:val="00053FB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E25"/>
    <w:rsid w:val="00137F36"/>
    <w:rsid w:val="00141292"/>
    <w:rsid w:val="001434C3"/>
    <w:rsid w:val="001441CB"/>
    <w:rsid w:val="00145453"/>
    <w:rsid w:val="0014611F"/>
    <w:rsid w:val="00146861"/>
    <w:rsid w:val="00147CBB"/>
    <w:rsid w:val="001517E4"/>
    <w:rsid w:val="00151E7C"/>
    <w:rsid w:val="00152CF5"/>
    <w:rsid w:val="00153387"/>
    <w:rsid w:val="00154C55"/>
    <w:rsid w:val="00157C06"/>
    <w:rsid w:val="00161845"/>
    <w:rsid w:val="00162849"/>
    <w:rsid w:val="00166432"/>
    <w:rsid w:val="00167012"/>
    <w:rsid w:val="001671A8"/>
    <w:rsid w:val="0016761A"/>
    <w:rsid w:val="00167BE2"/>
    <w:rsid w:val="00170744"/>
    <w:rsid w:val="0017238E"/>
    <w:rsid w:val="00172A50"/>
    <w:rsid w:val="001773AC"/>
    <w:rsid w:val="00177E2C"/>
    <w:rsid w:val="00180383"/>
    <w:rsid w:val="00180992"/>
    <w:rsid w:val="00180FD2"/>
    <w:rsid w:val="00180FD4"/>
    <w:rsid w:val="00181509"/>
    <w:rsid w:val="00181965"/>
    <w:rsid w:val="00184A1C"/>
    <w:rsid w:val="00185202"/>
    <w:rsid w:val="00187B69"/>
    <w:rsid w:val="0019050C"/>
    <w:rsid w:val="00192E8C"/>
    <w:rsid w:val="0019391D"/>
    <w:rsid w:val="00195579"/>
    <w:rsid w:val="00197124"/>
    <w:rsid w:val="001978C3"/>
    <w:rsid w:val="001A0839"/>
    <w:rsid w:val="001A33EF"/>
    <w:rsid w:val="001A4221"/>
    <w:rsid w:val="001A6A27"/>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8A0"/>
    <w:rsid w:val="00215A82"/>
    <w:rsid w:val="00216F2A"/>
    <w:rsid w:val="00220914"/>
    <w:rsid w:val="00221D61"/>
    <w:rsid w:val="00221FB3"/>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90FD4"/>
    <w:rsid w:val="00291EBF"/>
    <w:rsid w:val="00293200"/>
    <w:rsid w:val="00293F22"/>
    <w:rsid w:val="002963D2"/>
    <w:rsid w:val="00296D8E"/>
    <w:rsid w:val="002A0772"/>
    <w:rsid w:val="002B0601"/>
    <w:rsid w:val="002B10C7"/>
    <w:rsid w:val="002B1C62"/>
    <w:rsid w:val="002B4A23"/>
    <w:rsid w:val="002B513C"/>
    <w:rsid w:val="002B6EC9"/>
    <w:rsid w:val="002B7145"/>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9FB"/>
    <w:rsid w:val="00306ABC"/>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4897"/>
    <w:rsid w:val="003F6587"/>
    <w:rsid w:val="00401198"/>
    <w:rsid w:val="00402C7D"/>
    <w:rsid w:val="00403A74"/>
    <w:rsid w:val="0040518F"/>
    <w:rsid w:val="00407351"/>
    <w:rsid w:val="00407C2D"/>
    <w:rsid w:val="004106DF"/>
    <w:rsid w:val="00411A71"/>
    <w:rsid w:val="00411C0C"/>
    <w:rsid w:val="0041399A"/>
    <w:rsid w:val="00414535"/>
    <w:rsid w:val="00420D64"/>
    <w:rsid w:val="004226CF"/>
    <w:rsid w:val="00424E85"/>
    <w:rsid w:val="00425BE9"/>
    <w:rsid w:val="00427072"/>
    <w:rsid w:val="004326FE"/>
    <w:rsid w:val="0043585C"/>
    <w:rsid w:val="004408A1"/>
    <w:rsid w:val="00441F35"/>
    <w:rsid w:val="00442880"/>
    <w:rsid w:val="004428A3"/>
    <w:rsid w:val="00443205"/>
    <w:rsid w:val="004439D2"/>
    <w:rsid w:val="004501B7"/>
    <w:rsid w:val="004503E9"/>
    <w:rsid w:val="00453463"/>
    <w:rsid w:val="004550E4"/>
    <w:rsid w:val="00460114"/>
    <w:rsid w:val="00462F8E"/>
    <w:rsid w:val="004637E8"/>
    <w:rsid w:val="00463BC0"/>
    <w:rsid w:val="00465587"/>
    <w:rsid w:val="00467368"/>
    <w:rsid w:val="004674CD"/>
    <w:rsid w:val="00470229"/>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6317"/>
    <w:rsid w:val="005173DD"/>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63102"/>
    <w:rsid w:val="00567372"/>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D00CC"/>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763"/>
    <w:rsid w:val="005F3D1C"/>
    <w:rsid w:val="005F4B41"/>
    <w:rsid w:val="005F534C"/>
    <w:rsid w:val="005F61C8"/>
    <w:rsid w:val="005F75F8"/>
    <w:rsid w:val="005F7D35"/>
    <w:rsid w:val="00601A3B"/>
    <w:rsid w:val="006020A0"/>
    <w:rsid w:val="006044C7"/>
    <w:rsid w:val="0060666E"/>
    <w:rsid w:val="00607C36"/>
    <w:rsid w:val="006115E6"/>
    <w:rsid w:val="006118FD"/>
    <w:rsid w:val="006123B6"/>
    <w:rsid w:val="00613977"/>
    <w:rsid w:val="00613A90"/>
    <w:rsid w:val="0061627D"/>
    <w:rsid w:val="006206C7"/>
    <w:rsid w:val="006219E4"/>
    <w:rsid w:val="00622EC4"/>
    <w:rsid w:val="0062488B"/>
    <w:rsid w:val="00631EBB"/>
    <w:rsid w:val="006327F1"/>
    <w:rsid w:val="00635B20"/>
    <w:rsid w:val="00636167"/>
    <w:rsid w:val="00643628"/>
    <w:rsid w:val="00644417"/>
    <w:rsid w:val="00645BD1"/>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67F63"/>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48FB"/>
    <w:rsid w:val="0069614B"/>
    <w:rsid w:val="00697291"/>
    <w:rsid w:val="006A0231"/>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4307"/>
    <w:rsid w:val="006F5B9E"/>
    <w:rsid w:val="006F7480"/>
    <w:rsid w:val="006F754D"/>
    <w:rsid w:val="0070124C"/>
    <w:rsid w:val="007017C6"/>
    <w:rsid w:val="007027BB"/>
    <w:rsid w:val="00705140"/>
    <w:rsid w:val="007066C5"/>
    <w:rsid w:val="00707041"/>
    <w:rsid w:val="00712FF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652CE"/>
    <w:rsid w:val="00765DEF"/>
    <w:rsid w:val="00766E46"/>
    <w:rsid w:val="00770E6E"/>
    <w:rsid w:val="00771A7C"/>
    <w:rsid w:val="0077230A"/>
    <w:rsid w:val="00772725"/>
    <w:rsid w:val="00773EB7"/>
    <w:rsid w:val="007751AA"/>
    <w:rsid w:val="00777AD7"/>
    <w:rsid w:val="00777B6C"/>
    <w:rsid w:val="0079451D"/>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D0AC6"/>
    <w:rsid w:val="007D1844"/>
    <w:rsid w:val="007D2077"/>
    <w:rsid w:val="007D47DB"/>
    <w:rsid w:val="007D5732"/>
    <w:rsid w:val="007D7A78"/>
    <w:rsid w:val="007D7F3E"/>
    <w:rsid w:val="007E08EC"/>
    <w:rsid w:val="007E2497"/>
    <w:rsid w:val="007E5812"/>
    <w:rsid w:val="007E611A"/>
    <w:rsid w:val="007E68A5"/>
    <w:rsid w:val="007F0775"/>
    <w:rsid w:val="007F0A87"/>
    <w:rsid w:val="007F1EC7"/>
    <w:rsid w:val="007F36F4"/>
    <w:rsid w:val="007F3EAF"/>
    <w:rsid w:val="007F40B0"/>
    <w:rsid w:val="007F4AAA"/>
    <w:rsid w:val="007F5F38"/>
    <w:rsid w:val="007F665B"/>
    <w:rsid w:val="0080040D"/>
    <w:rsid w:val="008042C8"/>
    <w:rsid w:val="00805CFD"/>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54E6"/>
    <w:rsid w:val="0087776F"/>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5F46"/>
    <w:rsid w:val="008B60B8"/>
    <w:rsid w:val="008C12BE"/>
    <w:rsid w:val="008C14D8"/>
    <w:rsid w:val="008C1B93"/>
    <w:rsid w:val="008C22C7"/>
    <w:rsid w:val="008C38EB"/>
    <w:rsid w:val="008C414B"/>
    <w:rsid w:val="008C54EA"/>
    <w:rsid w:val="008C671C"/>
    <w:rsid w:val="008C676F"/>
    <w:rsid w:val="008C6A8F"/>
    <w:rsid w:val="008D1B97"/>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2209"/>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65BE"/>
    <w:rsid w:val="00966C3A"/>
    <w:rsid w:val="009673AB"/>
    <w:rsid w:val="00970E84"/>
    <w:rsid w:val="00971153"/>
    <w:rsid w:val="00974452"/>
    <w:rsid w:val="009757EF"/>
    <w:rsid w:val="00977C75"/>
    <w:rsid w:val="0098020E"/>
    <w:rsid w:val="00981036"/>
    <w:rsid w:val="009817E3"/>
    <w:rsid w:val="00981E5F"/>
    <w:rsid w:val="009825F0"/>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41DF"/>
    <w:rsid w:val="009D5919"/>
    <w:rsid w:val="009D709E"/>
    <w:rsid w:val="009E0249"/>
    <w:rsid w:val="009E055A"/>
    <w:rsid w:val="009E0F0F"/>
    <w:rsid w:val="009E36AC"/>
    <w:rsid w:val="009E4FB4"/>
    <w:rsid w:val="009E5694"/>
    <w:rsid w:val="009E585B"/>
    <w:rsid w:val="009E5B47"/>
    <w:rsid w:val="009F040E"/>
    <w:rsid w:val="009F2CC6"/>
    <w:rsid w:val="009F4085"/>
    <w:rsid w:val="00A018A9"/>
    <w:rsid w:val="00A02DD3"/>
    <w:rsid w:val="00A04D6C"/>
    <w:rsid w:val="00A05622"/>
    <w:rsid w:val="00A1136A"/>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724F"/>
    <w:rsid w:val="00A60815"/>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279F"/>
    <w:rsid w:val="00AF59C3"/>
    <w:rsid w:val="00B011BB"/>
    <w:rsid w:val="00B0163B"/>
    <w:rsid w:val="00B01B64"/>
    <w:rsid w:val="00B024AE"/>
    <w:rsid w:val="00B02B02"/>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0B70"/>
    <w:rsid w:val="00B21966"/>
    <w:rsid w:val="00B2363C"/>
    <w:rsid w:val="00B252F9"/>
    <w:rsid w:val="00B25977"/>
    <w:rsid w:val="00B261DA"/>
    <w:rsid w:val="00B271D8"/>
    <w:rsid w:val="00B27C45"/>
    <w:rsid w:val="00B313EB"/>
    <w:rsid w:val="00B3198A"/>
    <w:rsid w:val="00B34812"/>
    <w:rsid w:val="00B3572D"/>
    <w:rsid w:val="00B357AE"/>
    <w:rsid w:val="00B3583C"/>
    <w:rsid w:val="00B37E57"/>
    <w:rsid w:val="00B4131E"/>
    <w:rsid w:val="00B42A5A"/>
    <w:rsid w:val="00B42FA5"/>
    <w:rsid w:val="00B45C03"/>
    <w:rsid w:val="00B50E6C"/>
    <w:rsid w:val="00B514D3"/>
    <w:rsid w:val="00B51BC7"/>
    <w:rsid w:val="00B52134"/>
    <w:rsid w:val="00B53EAF"/>
    <w:rsid w:val="00B56063"/>
    <w:rsid w:val="00B570B0"/>
    <w:rsid w:val="00B57714"/>
    <w:rsid w:val="00B57D59"/>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4C1A"/>
    <w:rsid w:val="00B94FF8"/>
    <w:rsid w:val="00BA2419"/>
    <w:rsid w:val="00BB0F2F"/>
    <w:rsid w:val="00BB1C66"/>
    <w:rsid w:val="00BB524D"/>
    <w:rsid w:val="00BB5385"/>
    <w:rsid w:val="00BB5653"/>
    <w:rsid w:val="00BB6E3C"/>
    <w:rsid w:val="00BC133D"/>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850"/>
    <w:rsid w:val="00C80CAC"/>
    <w:rsid w:val="00C832EE"/>
    <w:rsid w:val="00C84969"/>
    <w:rsid w:val="00C8516B"/>
    <w:rsid w:val="00C85B81"/>
    <w:rsid w:val="00C910BD"/>
    <w:rsid w:val="00C92395"/>
    <w:rsid w:val="00C93F76"/>
    <w:rsid w:val="00C94196"/>
    <w:rsid w:val="00C9655A"/>
    <w:rsid w:val="00C96FCA"/>
    <w:rsid w:val="00C9754D"/>
    <w:rsid w:val="00C975DF"/>
    <w:rsid w:val="00CA2B79"/>
    <w:rsid w:val="00CA2C9B"/>
    <w:rsid w:val="00CA34AF"/>
    <w:rsid w:val="00CA3CF3"/>
    <w:rsid w:val="00CA5D84"/>
    <w:rsid w:val="00CA5F59"/>
    <w:rsid w:val="00CB1C8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2DEF"/>
    <w:rsid w:val="00D0411F"/>
    <w:rsid w:val="00D05FCB"/>
    <w:rsid w:val="00D066D9"/>
    <w:rsid w:val="00D06AD9"/>
    <w:rsid w:val="00D076EF"/>
    <w:rsid w:val="00D108C5"/>
    <w:rsid w:val="00D10D7A"/>
    <w:rsid w:val="00D1187F"/>
    <w:rsid w:val="00D11C2D"/>
    <w:rsid w:val="00D12638"/>
    <w:rsid w:val="00D1618D"/>
    <w:rsid w:val="00D167B1"/>
    <w:rsid w:val="00D16D1B"/>
    <w:rsid w:val="00D2102B"/>
    <w:rsid w:val="00D21F66"/>
    <w:rsid w:val="00D24B66"/>
    <w:rsid w:val="00D24C22"/>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3CD6"/>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318D4"/>
    <w:rsid w:val="00E339EE"/>
    <w:rsid w:val="00E3557A"/>
    <w:rsid w:val="00E4014C"/>
    <w:rsid w:val="00E401FC"/>
    <w:rsid w:val="00E42D1B"/>
    <w:rsid w:val="00E469FC"/>
    <w:rsid w:val="00E46FAB"/>
    <w:rsid w:val="00E474DC"/>
    <w:rsid w:val="00E55EA9"/>
    <w:rsid w:val="00E56307"/>
    <w:rsid w:val="00E56D55"/>
    <w:rsid w:val="00E56F52"/>
    <w:rsid w:val="00E57F76"/>
    <w:rsid w:val="00E60696"/>
    <w:rsid w:val="00E62028"/>
    <w:rsid w:val="00E62D93"/>
    <w:rsid w:val="00E6393C"/>
    <w:rsid w:val="00E66F92"/>
    <w:rsid w:val="00E66FA1"/>
    <w:rsid w:val="00E67375"/>
    <w:rsid w:val="00E67E51"/>
    <w:rsid w:val="00E76BE0"/>
    <w:rsid w:val="00E7790B"/>
    <w:rsid w:val="00E81714"/>
    <w:rsid w:val="00E8432C"/>
    <w:rsid w:val="00E85B1E"/>
    <w:rsid w:val="00E870FA"/>
    <w:rsid w:val="00E913F5"/>
    <w:rsid w:val="00E91546"/>
    <w:rsid w:val="00E91678"/>
    <w:rsid w:val="00E9206E"/>
    <w:rsid w:val="00E93438"/>
    <w:rsid w:val="00E93F64"/>
    <w:rsid w:val="00E96737"/>
    <w:rsid w:val="00EA0668"/>
    <w:rsid w:val="00EA1F53"/>
    <w:rsid w:val="00EA3CC6"/>
    <w:rsid w:val="00EA4376"/>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3209"/>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228"/>
    <w:rsid w:val="00F914B2"/>
    <w:rsid w:val="00F926B9"/>
    <w:rsid w:val="00F9541D"/>
    <w:rsid w:val="00FA0403"/>
    <w:rsid w:val="00FA0550"/>
    <w:rsid w:val="00FA229C"/>
    <w:rsid w:val="00FA597D"/>
    <w:rsid w:val="00FA5B9A"/>
    <w:rsid w:val="00FB01B9"/>
    <w:rsid w:val="00FB69DA"/>
    <w:rsid w:val="00FB7192"/>
    <w:rsid w:val="00FB763A"/>
    <w:rsid w:val="00FB79C0"/>
    <w:rsid w:val="00FC0709"/>
    <w:rsid w:val="00FC0EC1"/>
    <w:rsid w:val="00FC117A"/>
    <w:rsid w:val="00FC2EB8"/>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0717"/>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43865B4"/>
  <w15:docId w15:val="{156A89E9-0F26-49BD-8B29-986C0289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character" w:styleId="UnresolvedMention">
    <w:name w:val="Unresolved Mention"/>
    <w:basedOn w:val="DefaultParagraphFont"/>
    <w:uiPriority w:val="99"/>
    <w:semiHidden/>
    <w:unhideWhenUsed/>
    <w:rsid w:val="00902209"/>
    <w:rPr>
      <w:color w:val="605E5C"/>
      <w:shd w:val="clear" w:color="auto" w:fill="E1DFDD"/>
    </w:rPr>
  </w:style>
  <w:style w:type="character" w:styleId="PlaceholderText">
    <w:name w:val="Placeholder Text"/>
    <w:basedOn w:val="DefaultParagraphFont"/>
    <w:uiPriority w:val="99"/>
    <w:semiHidden/>
    <w:rsid w:val="005173DD"/>
    <w:rPr>
      <w:color w:val="808080"/>
    </w:rPr>
  </w:style>
  <w:style w:type="character" w:customStyle="1" w:styleId="jlqj4b">
    <w:name w:val="jlqj4b"/>
    <w:basedOn w:val="DefaultParagraphFont"/>
    <w:rsid w:val="0017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285">
      <w:bodyDiv w:val="1"/>
      <w:marLeft w:val="0"/>
      <w:marRight w:val="0"/>
      <w:marTop w:val="0"/>
      <w:marBottom w:val="0"/>
      <w:divBdr>
        <w:top w:val="none" w:sz="0" w:space="0" w:color="auto"/>
        <w:left w:val="none" w:sz="0" w:space="0" w:color="auto"/>
        <w:bottom w:val="none" w:sz="0" w:space="0" w:color="auto"/>
        <w:right w:val="none" w:sz="0" w:space="0" w:color="auto"/>
      </w:divBdr>
    </w:div>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278296642">
      <w:bodyDiv w:val="1"/>
      <w:marLeft w:val="0"/>
      <w:marRight w:val="0"/>
      <w:marTop w:val="0"/>
      <w:marBottom w:val="0"/>
      <w:divBdr>
        <w:top w:val="none" w:sz="0" w:space="0" w:color="auto"/>
        <w:left w:val="none" w:sz="0" w:space="0" w:color="auto"/>
        <w:bottom w:val="none" w:sz="0" w:space="0" w:color="auto"/>
        <w:right w:val="none" w:sz="0" w:space="0" w:color="auto"/>
      </w:divBdr>
    </w:div>
    <w:div w:id="283970248">
      <w:bodyDiv w:val="1"/>
      <w:marLeft w:val="0"/>
      <w:marRight w:val="0"/>
      <w:marTop w:val="0"/>
      <w:marBottom w:val="0"/>
      <w:divBdr>
        <w:top w:val="none" w:sz="0" w:space="0" w:color="auto"/>
        <w:left w:val="none" w:sz="0" w:space="0" w:color="auto"/>
        <w:bottom w:val="none" w:sz="0" w:space="0" w:color="auto"/>
        <w:right w:val="none" w:sz="0" w:space="0" w:color="auto"/>
      </w:divBdr>
    </w:div>
    <w:div w:id="532034078">
      <w:bodyDiv w:val="1"/>
      <w:marLeft w:val="0"/>
      <w:marRight w:val="0"/>
      <w:marTop w:val="0"/>
      <w:marBottom w:val="0"/>
      <w:divBdr>
        <w:top w:val="none" w:sz="0" w:space="0" w:color="auto"/>
        <w:left w:val="none" w:sz="0" w:space="0" w:color="auto"/>
        <w:bottom w:val="none" w:sz="0" w:space="0" w:color="auto"/>
        <w:right w:val="none" w:sz="0" w:space="0" w:color="auto"/>
      </w:divBdr>
    </w:div>
    <w:div w:id="59686759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5452884">
      <w:bodyDiv w:val="1"/>
      <w:marLeft w:val="0"/>
      <w:marRight w:val="0"/>
      <w:marTop w:val="0"/>
      <w:marBottom w:val="0"/>
      <w:divBdr>
        <w:top w:val="none" w:sz="0" w:space="0" w:color="auto"/>
        <w:left w:val="none" w:sz="0" w:space="0" w:color="auto"/>
        <w:bottom w:val="none" w:sz="0" w:space="0" w:color="auto"/>
        <w:right w:val="none" w:sz="0" w:space="0" w:color="auto"/>
      </w:divBdr>
    </w:div>
    <w:div w:id="138517824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3977571">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8398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e.r@u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471204-5107-4FA8-B342-E10C794E156F}">
  <we:reference id="wa104382081" version="1.20.0.0" store="en-001" storeType="OMEX"/>
  <we:alternateReferences>
    <we:reference id="wa104382081" version="1.20.0.0" store="" storeType="OMEX"/>
  </we:alternateReferences>
  <we:properties>
    <we:property name="MENDELEY_CITATIONS" value="[{&quot;citationID&quot;:&quot;MENDELEY_CITATION_9745f1dc-4f78-436e-9df5-4c3f848b40ec&quot;,&quot;citationItems&quot;:[{&quot;id&quot;:&quot;3dbdb22c-5970-3c48-b5d0-1966af5f4e94&quot;,&quot;itemData&quot;:{&quot;type&quot;:&quot;article-journal&quot;,&quot;id&quot;:&quot;3dbdb22c-5970-3c48-b5d0-1966af5f4e94&quot;,&quot;title&quot;:&quot;Wind from an empty cave? Online rumor and ideology in postsocialist China and Russia&quot;,&quot;author&quot;:[{&quot;family&quot;:&quot;Pulford&quot;,&quot;given&quot;:&quot;Ed&quot;,&quot;parse-names&quot;:false,&quot;dropping-particle&quot;:&quot;&quot;,&quot;non-dropping-particle&quot;:&quot;&quot;}],&quot;container-title&quot;:&quot;Asian Anthropology&quot;,&quot;DOI&quot;:&quot;10.1080/1683478X.2019.1537060&quot;,&quot;ISSN&quot;:&quot;21684227&quot;,&quot;issued&quot;:{&quot;date-parts&quot;:[[2019,1,2]]},&quot;page&quot;:&quot;1-20&quot;,&quot;abstract&quot;:&quot;If the online spread of incendiary information has recently been hotly debated in the West, then related phenomena have been longer-standing concerns in China and Russia. Since 2009, explosions in social media use in both countries have seen internet “rumors” proliferate, alongside governmental efforts to curb them. The postsocialist environment is pivotal to these rumors’ spread, as shown by their fixation on symbols of the postsocialist era–particularly the mysterious dealings of political elites. Because the powerful leaders which these rumors target continue as they did under socialism to promote top–down ideological visions of social reality, these rumors appear to represent a form of anti-establishment “resistance.” But an anthropological approach to Chinese and Russian rumors, including comparison with magic and witchcraft practices studied elsewhere in the world, reveals that the authorities’ attempts to combat them with “fact” are misguided, and offers a new understanding of this highly contemporary phenomenon.&quot;,&quot;publisher&quot;:&quot;Routledge&quot;,&quot;issue&quot;:&quot;1&quot;,&quot;volume&quot;:&quot;18&quot;},&quot;isTemporary&quot;:false}],&quot;properties&quot;:{&quot;noteIndex&quot;:0},&quot;isEdited&quot;:false,&quot;manualOverride&quot;:{&quot;isManuallyOverriden&quot;:false,&quot;citeprocText&quot;:&quot;(Pulford, 2019)&quot;,&quot;manualOverrideText&quot;:&quot;&quot;},&quot;citationTag&quot;:&quot;MENDELEY_CITATION_{\&quot;citationID\&quot;:\&quot;MENDELEY_CITATION_9745f1dc-4f78-436e-9df5-4c3f848b40ec\&quot;,\&quot;citationItems\&quot;:[{\&quot;id\&quot;:\&quot;3dbdb22c-5970-3c48-b5d0-1966af5f4e94\&quot;,\&quot;itemData\&quot;:{\&quot;type\&quot;:\&quot;article-journal\&quot;,\&quot;id\&quot;:\&quot;3dbdb22c-5970-3c48-b5d0-1966af5f4e94\&quot;,\&quot;title\&quot;:\&quot;Wind from an empty cave? Online rumor and ideology in postsocialist China and Russia\&quot;,\&quot;author\&quot;:[{\&quot;family\&quot;:\&quot;Pulford\&quot;,\&quot;given\&quot;:\&quot;Ed\&quot;,\&quot;parse-names\&quot;:false,\&quot;dropping-particle\&quot;:\&quot;\&quot;,\&quot;non-dropping-particle\&quot;:\&quot;\&quot;}],\&quot;container-title\&quot;:\&quot;Asian Anthropology\&quot;,\&quot;DOI\&quot;:\&quot;10.1080/1683478X.2019.1537060\&quot;,\&quot;ISSN\&quot;:\&quot;21684227\&quot;,\&quot;issued\&quot;:{\&quot;date-parts\&quot;:[[2019,1,2]]},\&quot;page\&quot;:\&quot;1-20\&quot;,\&quot;abstract\&quot;:\&quot;If the online spread of incendiary information has recently been hotly debated in the West, then related phenomena have been longer-standing concerns in China and Russia. Since 2009, explosions in social media use in both countries have seen internet “rumors” proliferate, alongside governmental efforts to curb them. The postsocialist environment is pivotal to these rumors’ spread, as shown by their fixation on symbols of the postsocialist era–particularly the mysterious dealings of political elites. Because the powerful leaders which these rumors target continue as they did under socialism to promote top–down ideological visions of social reality, these rumors appear to represent a form of anti-establishment “resistance.” But an anthropological approach to Chinese and Russian rumors, including comparison with magic and witchcraft practices studied elsewhere in the world, reveals that the authorities’ attempts to combat them with “fact” are misguided, and offers a new understanding of this highly contemporary phenomenon.\&quot;,\&quot;publisher\&quot;:\&quot;Routledge\&quot;,\&quot;issue\&quot;:\&quot;1\&quot;,\&quot;volume\&quot;:\&quot;18\&quot;},\&quot;isTemporary\&quot;:false}],\&quot;properties\&quot;:{\&quot;noteIndex\&quot;:0},\&quot;isEdited\&quot;:false,\&quot;manualOverride\&quot;:{\&quot;isManuallyOverriden\&quot;:false,\&quot;citeprocText\&quot;:\&quot;\&quot;,\&quot;manualOverrideText\&quot;:\&quot;\&quot;}}&quot;},{&quot;citationID&quot;:&quot;MENDELEY_CITATION_7a126714-35c2-42d9-9ba0-3b46fb795acf&quot;,&quot;citationItems&quot;:[{&quot;id&quot;:&quot;2af73091-ded8-33d0-85d0-315d19e7c3c4&quot;,&quot;itemData&quot;:{&quot;type&quot;:&quot;article-journal&quot;,&quot;id&quot;:&quot;2af73091-ded8-33d0-85d0-315d19e7c3c4&quot;,&quot;title&quot;:&quot;The COVID-19 Pandemic: Making Sense of Rumor and Fear: Op-Ed&quot;,&quot;author&quot;:[{&quot;family&quot;:&quot;Ali&quot;,&quot;given&quot;:&quot;Inayat&quot;,&quot;parse-names&quot;:false,&quot;dropping-particle&quot;:&quot;&quot;,&quot;non-dropping-particle&quot;:&quot;&quot;}],&quot;container-title&quot;:&quot;Medical Anthropology: Cross Cultural Studies in Health and Illness&quot;,&quot;DOI&quot;:&quot;10.1080/01459740.2020.1745481&quot;,&quot;ISSN&quot;:&quot;15455882&quot;,&quot;PMID&quot;:&quot;32212931&quot;,&quot;issued&quot;:{&quot;date-parts&quot;:[[2020,7,3]]},&quot;page&quot;:&quot;376-379&quot;,&quot;publisher&quot;:&quot;Taylor and Francis Inc.&quot;,&quot;issue&quot;:&quot;5&quot;,&quot;volume&quot;:&quot;39&quot;},&quot;isTemporary&quot;:false}],&quot;properties&quot;:{&quot;noteIndex&quot;:0},&quot;isEdited&quot;:false,&quot;manualOverride&quot;:{&quot;isManuallyOverriden&quot;:false,&quot;citeprocText&quot;:&quot;(Ali, 2020)&quot;,&quot;manualOverrideText&quot;:&quot;&quot;},&quot;citationTag&quot;:&quot;MENDELEY_CITATION_{\&quot;citationID\&quot;:\&quot;MENDELEY_CITATION_7a126714-35c2-42d9-9ba0-3b46fb795acf\&quot;,\&quot;citationItems\&quot;:[{\&quot;id\&quot;:\&quot;2af73091-ded8-33d0-85d0-315d19e7c3c4\&quot;,\&quot;itemData\&quot;:{\&quot;type\&quot;:\&quot;article-journal\&quot;,\&quot;id\&quot;:\&quot;2af73091-ded8-33d0-85d0-315d19e7c3c4\&quot;,\&quot;title\&quot;:\&quot;The COVID-19 Pandemic: Making Sense of Rumor and Fear: Op-Ed\&quot;,\&quot;author\&quot;:[{\&quot;family\&quot;:\&quot;Ali\&quot;,\&quot;given\&quot;:\&quot;Inayat\&quot;,\&quot;parse-names\&quot;:false,\&quot;dropping-particle\&quot;:\&quot;\&quot;,\&quot;non-dropping-particle\&quot;:\&quot;\&quot;}],\&quot;container-title\&quot;:\&quot;Medical Anthropology: Cross Cultural Studies in Health and Illness\&quot;,\&quot;DOI\&quot;:\&quot;10.1080/01459740.2020.1745481\&quot;,\&quot;ISSN\&quot;:\&quot;15455882\&quot;,\&quot;PMID\&quot;:\&quot;32212931\&quot;,\&quot;issued\&quot;:{\&quot;date-parts\&quot;:[[2020,7,3]]},\&quot;page\&quot;:\&quot;376-379\&quot;,\&quot;publisher\&quot;:\&quot;Taylor and Francis Inc.\&quot;,\&quot;issue\&quot;:\&quot;5\&quot;,\&quot;volume\&quot;:\&quot;39\&quot;},\&quot;isTemporary\&quot;:false}],\&quot;properties\&quot;:{\&quot;noteIndex\&quot;:0},\&quot;isEdited\&quot;:false,\&quot;manualOverride\&quot;:{\&quot;isManuallyOverriden\&quot;:false,\&quot;citeprocText\&quot;:\&quot;\&quot;,\&quot;manualOverrideText\&quot;:\&quot;\&quot;}}&quot;},{&quot;citationID&quot;:&quot;MENDELEY_CITATION_56164883-8977-44ea-92e5-78f29d718d0f&quot;,&quot;citationItems&quot;:[{&quot;id&quot;:&quot;aa955dcf-4842-3269-8802-3038eaef6ddf&quot;,&quot;itemData&quot;:{&quot;type&quot;:&quot;article-journal&quot;,&quot;id&quot;:&quot;aa955dcf-4842-3269-8802-3038eaef6ddf&quot;,&quot;title&quot;:&quot;Investigating the negative-cognitive-triad-hypothesis of news choice in Germany and South Korea: does depression predict selective exposure to negative news?&quot;,&quot;author&quot;:[{&quot;family&quot;:&quot;Scherr&quot;,&quot;given&quot;:&quot;Sebastian&quot;,&quot;parse-names&quot;:false,&quot;dropping-particle&quot;:&quot;&quot;,&quot;non-dropping-particle&quot;:&quot;&quot;},{&quot;family&quot;:&quot;Arendt&quot;,&quot;given&quot;:&quot;Florian&quot;,&quot;parse-names&quot;:false,&quot;dropping-particle&quot;:&quot;&quot;,&quot;non-dropping-particle&quot;:&quot;&quot;},{&quot;family&quot;:&quot;Prieler&quot;,&quot;given&quot;:&quot;Michael&quot;,&quot;parse-names&quot;:false,&quot;dropping-particle&quot;:&quot;&quot;,&quot;non-dropping-particle&quot;:&quot;&quot;},{&quot;family&quot;:&quot;Ju&quot;,&quot;given&quot;:&quot;Youngkee&quot;,&quot;parse-names&quot;:false,&quot;dropping-particle&quot;:&quot;&quot;,&quot;non-dropping-particle&quot;:&quot;&quot;}],&quot;container-title&quot;:&quot;The Social Science Journal&quot;,&quot;DOI&quot;:&quot;10.1080/03623319.2020.1859817&quot;,&quot;ISSN&quot;:&quot;0362-3319&quot;,&quot;URL&quot;:&quot;https://doi.org/10.1080/03623319.2020.1859817&quot;,&quot;issued&quot;:{&quot;date-parts&quot;:[[2021,1,12]]},&quot;page&quot;:&quot;1-18&quot;,&quot;publisher&quot;:&quot;Routledge&quot;},&quot;isTemporary&quot;:false}],&quot;properties&quot;:{&quot;noteIndex&quot;:0},&quot;isEdited&quot;:false,&quot;manualOverride&quot;:{&quot;isManuallyOverriden&quot;:false,&quot;citeprocText&quot;:&quot;(Scherr et al., 2021)&quot;,&quot;manualOverrideText&quot;:&quot;&quot;},&quot;citationTag&quot;:&quot;MENDELEY_CITATION_{\&quot;citationID\&quot;:\&quot;MENDELEY_CITATION_56164883-8977-44ea-92e5-78f29d718d0f\&quot;,\&quot;citationItems\&quot;:[{\&quot;id\&quot;:\&quot;aa955dcf-4842-3269-8802-3038eaef6ddf\&quot;,\&quot;itemData\&quot;:{\&quot;type\&quot;:\&quot;article-journal\&quot;,\&quot;id\&quot;:\&quot;aa955dcf-4842-3269-8802-3038eaef6ddf\&quot;,\&quot;title\&quot;:\&quot;Investigating the negative-cognitive-triad-hypothesis of news choice in Germany and South Korea: does depression predict selective exposure to negative news?\&quot;,\&quot;author\&quot;:[{\&quot;family\&quot;:\&quot;Scherr\&quot;,\&quot;given\&quot;:\&quot;Sebastian\&quot;,\&quot;parse-names\&quot;:false,\&quot;dropping-particle\&quot;:\&quot;\&quot;,\&quot;non-dropping-particle\&quot;:\&quot;\&quot;},{\&quot;family\&quot;:\&quot;Arendt\&quot;,\&quot;given\&quot;:\&quot;Florian\&quot;,\&quot;parse-names\&quot;:false,\&quot;dropping-particle\&quot;:\&quot;\&quot;,\&quot;non-dropping-particle\&quot;:\&quot;\&quot;},{\&quot;family\&quot;:\&quot;Prieler\&quot;,\&quot;given\&quot;:\&quot;Michael\&quot;,\&quot;parse-names\&quot;:false,\&quot;dropping-particle\&quot;:\&quot;\&quot;,\&quot;non-dropping-particle\&quot;:\&quot;\&quot;},{\&quot;family\&quot;:\&quot;Ju\&quot;,\&quot;given\&quot;:\&quot;Youngkee\&quot;,\&quot;parse-names\&quot;:false,\&quot;dropping-particle\&quot;:\&quot;\&quot;,\&quot;non-dropping-particle\&quot;:\&quot;\&quot;}],\&quot;container-title\&quot;:\&quot;The Social Science Journal\&quot;,\&quot;DOI\&quot;:\&quot;10.1080/03623319.2020.1859817\&quot;,\&quot;ISSN\&quot;:\&quot;0362-3319\&quot;,\&quot;URL\&quot;:\&quot;https://doi.org/10.1080/03623319.2020.1859817\&quot;,\&quot;issued\&quot;:{\&quot;date-parts\&quot;:[[2021,1,12]]},\&quot;page\&quot;:\&quot;1-18\&quot;,\&quot;publisher\&quot;:\&quot;Routledge\&quot;},\&quot;isTemporary\&quot;:false}],\&quot;properties\&quot;:{\&quot;noteIndex\&quot;:0},\&quot;isEdited\&quot;:false,\&quot;manualOverride\&quot;:{\&quot;isManuallyOverriden\&quot;:false,\&quot;citeprocText\&quot;:\&quot;\&quot;,\&quot;manualOverrideText\&quot;:\&quot;\&quot;}}&quot;},{&quot;citationID&quot;:&quot;MENDELEY_CITATION_5678a26b-21e6-4807-b26c-998deaccd170&quot;,&quot;citationItems&quot;:[{&quot;id&quot;:&quot;999f0aa9-1a49-3fe1-a302-03ed3bc2b582&quot;,&quot;itemData&quot;:{&quot;type&quot;:&quot;article-journal&quot;,&quot;id&quot;:&quot;999f0aa9-1a49-3fe1-a302-03ed3bc2b582&quot;,&quot;title&quot;:&quot;Things fall apart: Identity in the digital world&quot;,&quot;author&quot;:[{&quot;family&quot;:&quot;Arthur&quot;,&quot;given&quot;:&quot;Paul Longley&quot;,&quot;parse-names&quot;:false,&quot;dropping-particle&quot;:&quot;&quot;,&quot;non-dropping-particle&quot;:&quot;&quot;}],&quot;container-title&quot;:&quot;Life Writing&quot;,&quot;DOI&quot;:&quot;10.1080/14484528.2017.1364170&quot;,&quot;ISSN&quot;:&quot;17512964&quot;,&quot;issued&quot;:{&quot;date-parts&quot;:[[2017]]},&quot;page&quot;:&quot;541-550&quot;,&quot;abstract&quot;:&quot;We are in the midst of a data revolution that has penetrated the daily life of most of the world’s population so suddenly and deeply that it is impossible to grasp the extent of its impact on the concepts of self and identity. At the same time as accessing the ever-expanding realm of data via our networked devices, we are also contributing to it with every click or touch and generating a new kind of self in the free and open space of the Internet – ‘the world’s largest ungoverned space’. Can the new inclusiveness that digital technologies have given us be understood as the fulfilment of campaigns waged by critical theories in the late twenty-first century against the authority and centrality of mainstream narratives and the visions they promulgated of the world and ourselves? Or are we facing a new kind of imperialism as we fall under the spell of algorithmic culture – the monster we ourselves have created, nurtured and set free? This paper considers identity in the twenty-first century in terms of the tensions and contradictions between freedom and chaos, definition and dissolution, location and placelessness that are inherent in the digital world.&quot;,&quot;publisher&quot;:&quot;Routledge&quot;,&quot;issue&quot;:&quot;4&quot;,&quot;volume&quot;:&quot;14&quot;},&quot;isTemporary&quot;:false}],&quot;properties&quot;:{&quot;noteIndex&quot;:0},&quot;isEdited&quot;:false,&quot;manualOverride&quot;:{&quot;isManuallyOverriden&quot;:false,&quot;citeprocText&quot;:&quot;(Arthur, 2017)&quot;,&quot;manualOverrideText&quot;:&quot;&quot;},&quot;citationTag&quot;:&quot;MENDELEY_CITATION_{\&quot;citationID\&quot;:\&quot;MENDELEY_CITATION_5678a26b-21e6-4807-b26c-998deaccd170\&quot;,\&quot;citationItems\&quot;:[{\&quot;id\&quot;:\&quot;999f0aa9-1a49-3fe1-a302-03ed3bc2b582\&quot;,\&quot;itemData\&quot;:{\&quot;type\&quot;:\&quot;article-journal\&quot;,\&quot;id\&quot;:\&quot;999f0aa9-1a49-3fe1-a302-03ed3bc2b582\&quot;,\&quot;title\&quot;:\&quot;Things fall apart: Identity in the digital world\&quot;,\&quot;author\&quot;:[{\&quot;family\&quot;:\&quot;Arthur\&quot;,\&quot;given\&quot;:\&quot;Paul Longley\&quot;,\&quot;parse-names\&quot;:false,\&quot;dropping-particle\&quot;:\&quot;\&quot;,\&quot;non-dropping-particle\&quot;:\&quot;\&quot;}],\&quot;container-title\&quot;:\&quot;Life Writing\&quot;,\&quot;DOI\&quot;:\&quot;10.1080/14484528.2017.1364170\&quot;,\&quot;ISSN\&quot;:\&quot;17512964\&quot;,\&quot;issued\&quot;:{\&quot;date-parts\&quot;:[[2017]]},\&quot;page\&quot;:\&quot;541-550\&quot;,\&quot;abstract\&quot;:\&quot;We are in the midst of a data revolution that has penetrated the daily life of most of the world’s population so suddenly and deeply that it is impossible to grasp the extent of its impact on the concepts of self and identity. At the same time as accessing the ever-expanding realm of data via our networked devices, we are also contributing to it with every click or touch and generating a new kind of self in the free and open space of the Internet – ‘the world’s largest ungoverned space’. Can the new inclusiveness that digital technologies have given us be understood as the fulfilment of campaigns waged by critical theories in the late twenty-first century against the authority and centrality of mainstream narratives and the visions they promulgated of the world and ourselves? Or are we facing a new kind of imperialism as we fall under the spell of algorithmic culture – the monster we ourselves have created, nurtured and set free? This paper considers identity in the twenty-first century in terms of the tensions and contradictions between freedom and chaos, definition and dissolution, location and placelessness that are inherent in the digital world.\&quot;,\&quot;publisher\&quot;:\&quot;Routledge\&quot;,\&quot;issue\&quot;:\&quot;4\&quot;,\&quot;volume\&quot;:\&quot;14\&quot;},\&quot;isTemporary\&quot;:false}],\&quot;properties\&quot;:{\&quot;noteIndex\&quot;:0},\&quot;isEdited\&quot;:false,\&quot;manualOverride\&quot;:{\&quot;isManuallyOverriden\&quot;:false,\&quot;citeprocText\&quot;:\&quot;\&quot;,\&quot;manualOverrideText\&quot;:\&quot;\&quot;}}&quot;},{&quot;citationID&quot;:&quot;MENDELEY_CITATION_329e01ab-7977-4873-842c-68ac37b01483&quot;,&quot;citationItems&quot;:[{&quot;id&quot;:&quot;c5d7cd86-69a1-3615-a3c4-7dbeefc36e2c&quot;,&quot;itemData&quot;:{&quot;type&quot;:&quot;article-journal&quot;,&quot;id&quot;:&quot;c5d7cd86-69a1-3615-a3c4-7dbeefc36e2c&quot;,&quot;title&quot;:&quot;We Need the Lens of Equity in COVID-19 Communication&quot;,&quot;author&quot;:[{&quot;family&quot;:&quot;Viswanath&quot;,&quot;given&quot;:&quot;K.&quot;,&quot;parse-names&quot;:false,&quot;dropping-particle&quot;:&quot;&quot;,&quot;non-dropping-particle&quot;:&quot;&quot;},{&quot;family&quot;:&quot;Lee&quot;,&quot;given&quot;:&quot;Edmund W.J.&quot;,&quot;parse-names&quot;:false,&quot;dropping-particle&quot;:&quot;&quot;,&quot;non-dropping-particle&quot;:&quot;&quot;},{&quot;family&quot;:&quot;Pinnamaneni&quot;,&quot;given&quot;:&quot;Ramya&quot;,&quot;parse-names&quot;:false,&quot;dropping-particle&quot;:&quot;&quot;,&quot;non-dropping-particle&quot;:&quot;&quot;}],&quot;container-title&quot;:&quot;Health Communication&quot;,&quot;DOI&quot;:&quot;10.1080/10410236.2020.1837445&quot;,&quot;ISSN&quot;:&quot;15327027&quot;,&quot;PMID&quot;:&quot;33106029&quot;,&quot;issued&quot;:{&quot;date-parts&quot;:[[2020,12,5]]},&quot;page&quot;:&quot;1743-1746&quot;,&quot;abstract&quot;:&quot;The ongoing COVID-19 pandemic has brought forward the centrality of public communication as a force for information, and in highlighting the differential impact on diverse segments of the society. Information and communication technologies-led developments including social media have previously been discussed as instruments of democratization of knowledge. However, the evidence so far shows that the promise remains unfulfilled as upper socioeconomic groups acquire information at a faster rate than others. The communication inequalities have only reinforced the existing societal fault lines of race, class and place. As the first pandemic of the social media age, COVID-19 has also given rise to an “infodemic”, providing fertile ground for the spread of information, misinformation and disinformation. With limited gatekeeping, an immense amount of unprocessed scientific information is being put forward to publics not trained in science. In this commentary, we offer some propositions on how disinformation on COVID-19 has become mainstreamed through social media’s spiral of amplification and what role public communication has in an emergency from a lens of equity. We raise the question of whether the tremendous flow of scientific information during the COVID-19 pandemic has a differential impact on different socioeconomic groups. We propose that more systematic research is urgently needed to understand how mis/disinformation originate, spread and what their consequences are. In our view, research in health communication inequalities is foundational to mitigating the current off-line and online ravages of the pandemic.&quot;,&quot;publisher&quot;:&quot;Routledge&quot;,&quot;issue&quot;:&quot;14&quot;,&quot;volume&quot;:&quot;35&quot;},&quot;isTemporary&quot;:false}],&quot;properties&quot;:{&quot;noteIndex&quot;:0},&quot;isEdited&quot;:false,&quot;manualOverride&quot;:{&quot;isManuallyOverriden&quot;:false,&quot;citeprocText&quot;:&quot;(Viswanath et al., 2020)&quot;,&quot;manualOverrideText&quot;:&quot;&quot;},&quot;citationTag&quot;:&quot;MENDELEY_CITATION_{\&quot;citationID\&quot;:\&quot;MENDELEY_CITATION_329e01ab-7977-4873-842c-68ac37b01483\&quot;,\&quot;citationItems\&quot;:[{\&quot;id\&quot;:\&quot;c5d7cd86-69a1-3615-a3c4-7dbeefc36e2c\&quot;,\&quot;itemData\&quot;:{\&quot;type\&quot;:\&quot;article-journal\&quot;,\&quot;id\&quot;:\&quot;c5d7cd86-69a1-3615-a3c4-7dbeefc36e2c\&quot;,\&quot;title\&quot;:\&quot;We Need the Lens of Equity in COVID-19 Communication\&quot;,\&quot;author\&quot;:[{\&quot;family\&quot;:\&quot;Viswanath\&quot;,\&quot;given\&quot;:\&quot;K.\&quot;,\&quot;parse-names\&quot;:false,\&quot;dropping-particle\&quot;:\&quot;\&quot;,\&quot;non-dropping-particle\&quot;:\&quot;\&quot;},{\&quot;family\&quot;:\&quot;Lee\&quot;,\&quot;given\&quot;:\&quot;Edmund W.J.\&quot;,\&quot;parse-names\&quot;:false,\&quot;dropping-particle\&quot;:\&quot;\&quot;,\&quot;non-dropping-particle\&quot;:\&quot;\&quot;},{\&quot;family\&quot;:\&quot;Pinnamaneni\&quot;,\&quot;given\&quot;:\&quot;Ramya\&quot;,\&quot;parse-names\&quot;:false,\&quot;dropping-particle\&quot;:\&quot;\&quot;,\&quot;non-dropping-particle\&quot;:\&quot;\&quot;}],\&quot;container-title\&quot;:\&quot;Health Communication\&quot;,\&quot;DOI\&quot;:\&quot;10.1080/10410236.2020.1837445\&quot;,\&quot;ISSN\&quot;:\&quot;15327027\&quot;,\&quot;PMID\&quot;:\&quot;33106029\&quot;,\&quot;issued\&quot;:{\&quot;date-parts\&quot;:[[2020,12,5]]},\&quot;page\&quot;:\&quot;1743-1746\&quot;,\&quot;abstract\&quot;:\&quot;The ongoing COVID-19 pandemic has brought forward the centrality of public communication as a force for information, and in highlighting the differential impact on diverse segments of the society. Information and communication technologies-led developments including social media have previously been discussed as instruments of democratization of knowledge. However, the evidence so far shows that the promise remains unfulfilled as upper socioeconomic groups acquire information at a faster rate than others. The communication inequalities have only reinforced the existing societal fault lines of race, class and place. As the first pandemic of the social media age, COVID-19 has also given rise to an “infodemic”, providing fertile ground for the spread of information, misinformation and disinformation. With limited gatekeeping, an immense amount of unprocessed scientific information is being put forward to publics not trained in science. In this commentary, we offer some propositions on how disinformation on COVID-19 has become mainstreamed through social media’s spiral of amplification and what role public communication has in an emergency from a lens of equity. We raise the question of whether the tremendous flow of scientific information during the COVID-19 pandemic has a differential impact on different socioeconomic groups. We propose that more systematic research is urgently needed to understand how mis/disinformation originate, spread and what their consequences are. In our view, research in health communication inequalities is foundational to mitigating the current off-line and online ravages of the pandemic.\&quot;,\&quot;publisher\&quot;:\&quot;Routledge\&quot;,\&quot;issue\&quot;:\&quot;14\&quot;,\&quot;volume\&quot;:\&quot;35\&quot;},\&quot;isTemporary\&quot;:false}],\&quot;properties\&quot;:{\&quot;noteIndex\&quot;:0},\&quot;isEdited\&quot;:false,\&quot;manualOverride\&quot;:{\&quot;isManuallyOverriden\&quot;:false,\&quot;citeprocText\&quot;:\&quot;\&quot;,\&quot;manualOverrideText\&quot;:\&quot;\&quot;}}&quot;},{&quot;citationID&quot;:&quot;MENDELEY_CITATION_17046d5c-a5dc-4096-9ce1-94eb8a886723&quot;,&quot;citationItems&quot;:[{&quot;id&quot;:&quot;18bdb229-56da-31a0-9a20-acce82c10963&quot;,&quot;itemData&quot;:{&quot;type&quot;:&quot;article-journal&quot;,&quot;id&quot;:&quot;18bdb229-56da-31a0-9a20-acce82c10963&quot;,&quot;title&quot;:&quot;Social media and disinformation in war propaganda: how Afghan government and the Taliban use Twitter&quot;,&quot;author&quot;:[{&quot;family&quot;:&quot;Bahar&quot;,&quot;given&quot;:&quot;Hazrat M.&quot;,&quot;parse-names&quot;:false,&quot;dropping-particle&quot;:&quot;&quot;,&quot;non-dropping-particle&quot;:&quot;&quot;}],&quot;container-title&quot;:&quot;Media Asia&quot;,&quot;DOI&quot;:&quot;10.1080/01296612.2020.1822634&quot;,&quot;ISSN&quot;:&quot;0129-6612&quot;,&quot;issued&quot;:{&quot;date-parts&quot;:[[2020,4,2]]},&quot;page&quot;:&quot;34-46&quot;,&quot;abstract&quot;:&quot;Advancement in communication technology evolved means and structure of media production. It also democratized dissemination of information. Social media as a significant platform for political enga...&quot;,&quot;publisher&quot;:&quot;Informa UK Limited&quot;,&quot;issue&quot;:&quot;1-2&quot;,&quot;volume&quot;:&quot;47&quot;},&quot;isTemporary&quot;:false}],&quot;properties&quot;:{&quot;noteIndex&quot;:0},&quot;isEdited&quot;:false,&quot;manualOverride&quot;:{&quot;isManuallyOverriden&quot;:false,&quot;citeprocText&quot;:&quot;(Bahar, 2020)&quot;,&quot;manualOverrideText&quot;:&quot;&quot;},&quot;citationTag&quot;:&quot;MENDELEY_CITATION_{\&quot;citationID\&quot;:\&quot;MENDELEY_CITATION_17046d5c-a5dc-4096-9ce1-94eb8a886723\&quot;,\&quot;citationItems\&quot;:[{\&quot;id\&quot;:\&quot;18bdb229-56da-31a0-9a20-acce82c10963\&quot;,\&quot;itemData\&quot;:{\&quot;type\&quot;:\&quot;article-journal\&quot;,\&quot;id\&quot;:\&quot;18bdb229-56da-31a0-9a20-acce82c10963\&quot;,\&quot;title\&quot;:\&quot;Social media and disinformation in war propaganda: how Afghan government and the Taliban use Twitter\&quot;,\&quot;author\&quot;:[{\&quot;family\&quot;:\&quot;Bahar\&quot;,\&quot;given\&quot;:\&quot;Hazrat M.\&quot;,\&quot;parse-names\&quot;:false,\&quot;dropping-particle\&quot;:\&quot;\&quot;,\&quot;non-dropping-particle\&quot;:\&quot;\&quot;}],\&quot;container-title\&quot;:\&quot;Media Asia\&quot;,\&quot;DOI\&quot;:\&quot;10.1080/01296612.2020.1822634\&quot;,\&quot;ISSN\&quot;:\&quot;0129-6612\&quot;,\&quot;issued\&quot;:{\&quot;date-parts\&quot;:[[2020,4,2]]},\&quot;page\&quot;:\&quot;34-46\&quot;,\&quot;abstract\&quot;:\&quot;Advancement in communication technology evolved means and structure of media production. It also democratized dissemination of information. Social media as a significant platform for political enga...\&quot;,\&quot;publisher\&quot;:\&quot;Informa UK Limited\&quot;,\&quot;issue\&quot;:\&quot;1-2\&quot;,\&quot;volume\&quot;:\&quot;47\&quot;},\&quot;isTemporary\&quot;:false}],\&quot;properties\&quot;:{\&quot;noteIndex\&quot;:0},\&quot;isEdited\&quot;:false,\&quot;manualOverride\&quot;:{\&quot;isManuallyOverriden\&quot;:false,\&quot;citeprocText\&quot;:\&quot;\&quot;,\&quot;manualOverrideText\&quot;:\&quot;\&quot;}}&quot;},{&quot;citationID&quot;:&quot;MENDELEY_CITATION_3069cf0e-36fc-49ac-8e0e-a136ceca740c&quot;,&quot;citationItems&quot;:[{&quot;id&quot;:&quot;e9c816d6-8e36-3275-843a-6f3f90c4bb91&quot;,&quot;itemData&quot;:{&quot;type&quot;:&quot;article-journal&quot;,&quot;id&quot;:&quot;e9c816d6-8e36-3275-843a-6f3f90c4bb91&quot;,&quot;title&quot;:&quot;Battling with infodemic and disinfodemic: the quandary of journalists to report on COVID-19 pandemic in Pakistan&quot;,&quot;author&quot;:[{&quot;family&quot;:&quot;Jamil&quot;,&quot;given&quot;:&quot;Sadia&quot;,&quot;parse-names&quot;:false,&quot;dropping-particle&quot;:&quot;&quot;,&quot;non-dropping-particle&quot;:&quot;&quot;},{&quot;family&quot;:&quot;Appiah-Adjei&quot;,&quot;given&quot;:&quot;Gifty&quot;,&quot;parse-names&quot;:false,&quot;dropping-particle&quot;:&quot;&quot;,&quot;non-dropping-particle&quot;:&quot;&quot;}],&quot;container-title&quot;:&quot;Media Asia&quot;,&quot;DOI&quot;:&quot;10.1080/01296612.2020.1853393&quot;,&quot;ISSN&quot;:&quot;0129-6612&quot;,&quot;issued&quot;:{&quot;date-parts&quot;:[[2020,10,1]]},&quot;page&quot;:&quot;88-109&quot;,&quot;abstract&quot;:&quot;The outbreak of COVID-19 pandemic has impacted all sectors of life. Despite economic downturn, one major impact of global pandemic is the rise of 'infodemic' and 'disinfodemic', which actually creates challenge for the public to access reliable information when they require it. News media plays a crucial role in such stressful situations by providing timely and accurate information about the pandemic. Nevertheless, when the news verification and gatekeeping is weak, dissemination of false information within the infodemic can result in the toxic disinfodemic of disinformation and misinformation. It is imperative to recognize that journalists, especially in restrained environments (like Pakistan), can combat infodemic and disinfodemic about the pandemic when their safety and accessibility to needed information are guaranteed, and when they are not prone to diverse challenges. Therefore, drawing on Reese's hierarchy of influences model, this study seeks to explore the various levels of influences that impact on the Pakistani journalists' reporting and their ability to deal with the challenges of infodemic and disinfodemic amid COVID-19 pandemic. Moreover, this study uses qualitative method of in-depth interviews (online) and employs thematic analysis to address the study's findings.&quot;,&quot;publisher&quot;:&quot;Informa UK Limited&quot;,&quot;issue&quot;:&quot;3-4&quot;,&quot;volume&quot;:&quot;47&quot;},&quot;isTemporary&quot;:false}],&quot;properties&quot;:{&quot;noteIndex&quot;:0},&quot;isEdited&quot;:false,&quot;manualOverride&quot;:{&quot;isManuallyOverriden&quot;:false,&quot;citeprocText&quot;:&quot;(Jamil &amp;#38; Appiah-Adjei, 2020)&quot;,&quot;manualOverrideText&quot;:&quot;&quot;},&quot;citationTag&quot;:&quot;MENDELEY_CITATION_{\&quot;citationID\&quot;:\&quot;MENDELEY_CITATION_3069cf0e-36fc-49ac-8e0e-a136ceca740c\&quot;,\&quot;citationItems\&quot;:[{\&quot;id\&quot;:\&quot;e9c816d6-8e36-3275-843a-6f3f90c4bb91\&quot;,\&quot;itemData\&quot;:{\&quot;type\&quot;:\&quot;article-journal\&quot;,\&quot;id\&quot;:\&quot;e9c816d6-8e36-3275-843a-6f3f90c4bb91\&quot;,\&quot;title\&quot;:\&quot;Battling with infodemic and disinfodemic: the quandary of journalists to report on COVID-19 pandemic in Pakistan\&quot;,\&quot;author\&quot;:[{\&quot;family\&quot;:\&quot;Jamil\&quot;,\&quot;given\&quot;:\&quot;Sadia\&quot;,\&quot;parse-names\&quot;:false,\&quot;dropping-particle\&quot;:\&quot;\&quot;,\&quot;non-dropping-particle\&quot;:\&quot;\&quot;},{\&quot;family\&quot;:\&quot;Appiah-Adjei\&quot;,\&quot;given\&quot;:\&quot;Gifty\&quot;,\&quot;parse-names\&quot;:false,\&quot;dropping-particle\&quot;:\&quot;\&quot;,\&quot;non-dropping-particle\&quot;:\&quot;\&quot;}],\&quot;container-title\&quot;:\&quot;Media Asia\&quot;,\&quot;DOI\&quot;:\&quot;10.1080/01296612.2020.1853393\&quot;,\&quot;ISSN\&quot;:\&quot;0129-6612\&quot;,\&quot;issued\&quot;:{\&quot;date-parts\&quot;:[[2020,10,1]]},\&quot;page\&quot;:\&quot;88-109\&quot;,\&quot;abstract\&quot;:\&quot;The outbreak of COVID-19 pandemic has impacted all sectors of life. Despite economic downturn, one major impact of global pandemic is the rise of 'infodemic' and 'disinfodemic', which actually creates challenge for the public to access reliable information when they require it. News media plays a crucial role in such stressful situations by providing timely and accurate information about the pandemic. Nevertheless, when the news verification and gatekeeping is weak, dissemination of false information within the infodemic can result in the toxic disinfodemic of disinformation and misinformation. It is imperative to recognize that journalists, especially in restrained environments (like Pakistan), can combat infodemic and disinfodemic about the pandemic when their safety and accessibility to needed information are guaranteed, and when they are not prone to diverse challenges. Therefore, drawing on Reese's hierarchy of influences model, this study seeks to explore the various levels of influences that impact on the Pakistani journalists' reporting and their ability to deal with the challenges of infodemic and disinfodemic amid COVID-19 pandemic. Moreover, this study uses qualitative method of in-depth interviews (online) and employs thematic analysis to address the study's findings.\&quot;,\&quot;publisher\&quot;:\&quot;Informa UK Limited\&quot;,\&quot;issue\&quot;:\&quot;3-4\&quot;,\&quot;volume\&quot;:\&quot;47\&quot;},\&quot;isTemporary\&quot;:false}],\&quot;properties\&quot;:{\&quot;noteIndex\&quot;:0},\&quot;isEdited\&quot;:false,\&quot;manualOverride\&quot;:{\&quot;isManuallyOverriden\&quot;:false,\&quot;citeprocText\&quot;:\&quot;\&quot;,\&quot;manualOverrideText\&quot;:\&quot;\&quot;}}&quot;},{&quot;citationID&quot;:&quot;MENDELEY_CITATION_a6834755-e6fb-47f0-a330-1fc3a0cb3ea0&quot;,&quot;citationItems&quot;:[{&quot;id&quot;:&quot;3e206814-6bc1-31f2-8f31-caeafa37ac2f&quot;,&quot;itemData&quot;:{&quot;type&quot;:&quot;article-journal&quot;,&quot;id&quot;:&quot;3e206814-6bc1-31f2-8f31-caeafa37ac2f&quot;,&quot;title&quot;:&quot;Information Flow Within and Across Online Media Platforms: An Agenda-setting Analysis of Rumor Diffusion on News Websites, Weibo, and WeChat in China&quot;,&quot;author&quot;:[{&quot;family&quot;:&quot;Guo&quot;,&quot;given&quot;:&quot;Lei&quot;,&quot;parse-names&quot;:false,&quot;dropping-particle&quot;:&quot;&quot;,&quot;non-dropping-particle&quot;:&quot;&quot;},{&quot;family&quot;:&quot;Zhang&quot;,&quot;given&quot;:&quot;Yiyan&quot;,&quot;parse-names&quot;:false,&quot;dropping-particle&quot;:&quot;&quot;,&quot;non-dropping-particle&quot;:&quot;&quot;}],&quot;container-title&quot;:&quot;Journalism Studies&quot;,&quot;DOI&quot;:&quot;10.1080/1461670X.2020.1827012&quot;,&quot;ISSN&quot;:&quot;14699699&quot;,&quot;issued&quot;:{&quot;date-parts&quot;:[[2020,11,17]]},&quot;page&quot;:&quot;2176-2195&quot;,&quot;abstract&quot;:&quot;In China, the discussion of “fake news” often revolves around online rumor. In addition to politically motivated rumors, a large portion of profit-driven, sensational rumors permeate China's Internet. This study examines the diffusion of day-to-day online rumors on Weibo, WeChat, and mainstream news websites—the three major online news platforms in China—within an agenda-setting framework. Specifically, the study analyzed the top ten most widely distributed online rumors in China in 2016, focusing on how each rumor was reported and the transfer of rumor salience within and across the three media platforms. A total of 18,347 news items were quantitatively content analyzed and time-series analyses were conducted to discover the rumor diffusion patterns. Overall, the results show that Weibo was most likely to advance rumors, while WeChat had the greatest rumor refutation-to-advancement ratio. Mainstream news websites set the agenda of both Weibo and WeChat in refuting rumors and, ironically, also set the agenda of WeChat in advancing rumors. For rumor refuting within social media, the agenda-setting power of mainstream media remained strong on Weibo, while on WeChat governmental accounts and alternative information sources were more effective in building the mainstream media agenda.&quot;,&quot;publisher&quot;:&quot;Routledge&quot;,&quot;issue&quot;:&quot;15&quot;,&quot;volume&quot;:&quot;21&quot;},&quot;isTemporary&quot;:false}],&quot;properties&quot;:{&quot;noteIndex&quot;:0},&quot;isEdited&quot;:false,&quot;manualOverride&quot;:{&quot;isManuallyOverriden&quot;:false,&quot;citeprocText&quot;:&quot;(Guo &amp;#38; Zhang, 2020)&quot;,&quot;manualOverrideText&quot;:&quot;&quot;},&quot;citationTag&quot;:&quot;MENDELEY_CITATION_{\&quot;citationID\&quot;:\&quot;MENDELEY_CITATION_a6834755-e6fb-47f0-a330-1fc3a0cb3ea0\&quot;,\&quot;citationItems\&quot;:[{\&quot;id\&quot;:\&quot;3e206814-6bc1-31f2-8f31-caeafa37ac2f\&quot;,\&quot;itemData\&quot;:{\&quot;type\&quot;:\&quot;article-journal\&quot;,\&quot;id\&quot;:\&quot;3e206814-6bc1-31f2-8f31-caeafa37ac2f\&quot;,\&quot;title\&quot;:\&quot;Information Flow Within and Across Online Media Platforms: An Agenda-setting Analysis of Rumor Diffusion on News Websites, Weibo, and WeChat in China\&quot;,\&quot;author\&quot;:[{\&quot;family\&quot;:\&quot;Guo\&quot;,\&quot;given\&quot;:\&quot;Lei\&quot;,\&quot;parse-names\&quot;:false,\&quot;dropping-particle\&quot;:\&quot;\&quot;,\&quot;non-dropping-particle\&quot;:\&quot;\&quot;},{\&quot;family\&quot;:\&quot;Zhang\&quot;,\&quot;given\&quot;:\&quot;Yiyan\&quot;,\&quot;parse-names\&quot;:false,\&quot;dropping-particle\&quot;:\&quot;\&quot;,\&quot;non-dropping-particle\&quot;:\&quot;\&quot;}],\&quot;container-title\&quot;:\&quot;Journalism Studies\&quot;,\&quot;DOI\&quot;:\&quot;10.1080/1461670X.2020.1827012\&quot;,\&quot;ISSN\&quot;:\&quot;14699699\&quot;,\&quot;issued\&quot;:{\&quot;date-parts\&quot;:[[2020,11,17]]},\&quot;page\&quot;:\&quot;2176-2195\&quot;,\&quot;abstract\&quot;:\&quot;In China, the discussion of “fake news” often revolves around online rumor. In addition to politically motivated rumors, a large portion of profit-driven, sensational rumors permeate China's Internet. This study examines the diffusion of day-to-day online rumors on Weibo, WeChat, and mainstream news websites—the three major online news platforms in China—within an agenda-setting framework. Specifically, the study analyzed the top ten most widely distributed online rumors in China in 2016, focusing on how each rumor was reported and the transfer of rumor salience within and across the three media platforms. A total of 18,347 news items were quantitatively content analyzed and time-series analyses were conducted to discover the rumor diffusion patterns. Overall, the results show that Weibo was most likely to advance rumors, while WeChat had the greatest rumor refutation-to-advancement ratio. Mainstream news websites set the agenda of both Weibo and WeChat in refuting rumors and, ironically, also set the agenda of WeChat in advancing rumors. For rumor refuting within social media, the agenda-setting power of mainstream media remained strong on Weibo, while on WeChat governmental accounts and alternative information sources were more effective in building the mainstream media agenda.\&quot;,\&quot;publisher\&quot;:\&quot;Routledge\&quot;,\&quot;issue\&quot;:\&quot;15\&quot;,\&quot;volume\&quot;:\&quot;21\&quot;},\&quot;isTemporary\&quot;:false}],\&quot;properties\&quot;:{\&quot;noteIndex\&quot;:0},\&quot;isEdited\&quot;:false,\&quot;manualOverride\&quot;:{\&quot;isManuallyOverriden\&quot;:false,\&quot;citeprocText\&quot;:\&quot;\&quot;,\&quot;manualOverrideText\&quot;:\&quot;\&quot;}}&quot;},{&quot;citationID&quot;:&quot;MENDELEY_CITATION_7e09cb8f-2fe2-4bdf-805e-f152afd8ed2a&quot;,&quot;citationItems&quot;:[{&quot;id&quot;:&quot;97b768e7-675f-3389-b720-bba2abefd6b9&quot;,&quot;itemData&quot;:{&quot;type&quot;:&quot;article-journal&quot;,&quot;id&quot;:&quot;97b768e7-675f-3389-b720-bba2abefd6b9&quot;,&quot;title&quot;:&quot;China’s “Fake News” Problem: Exploring the Spread of Online Rumors in the Government-Controlled News Media&quot;,&quot;author&quot;:[{&quot;family&quot;:&quot;Guo&quot;,&quot;given&quot;:&quot;Lei&quot;,&quot;parse-names&quot;:false,&quot;dropping-particle&quot;:&quot;&quot;,&quot;non-dropping-particle&quot;:&quot;&quot;}],&quot;container-title&quot;:&quot;Digital Journalism&quot;,&quot;DOI&quot;:&quot;10.1080/21670811.2020.1766986&quot;,&quot;ISSN&quot;:&quot;2167082X&quot;,&quot;issued&quot;:{&quot;date-parts&quot;:[[2020,9,13]]},&quot;page&quot;:&quot;992-1010&quot;,&quot;abstract&quot;:&quot;This study examines the “fake news” problem in China where the media environment is tightly controlled. Focusing on online rumors that are not politically sensitive, this article seeks to shed light on a commercialized dimension of China’s online media landscape in addition to a highly politicalized one that previous research has emphasized. Based on an intermedia agenda-setting analysis of the top ten rumors circulated on China’s Internet in 2016, this study demonstrates that although the government-controlled news websites challenged the rumors to a great extent, they also contributed to the perpetration of misinformation. Even the national official media advanced some rumors themselves and induced other media outlets to do so.&quot;,&quot;publisher&quot;:&quot;Routledge&quot;,&quot;issue&quot;:&quot;8&quot;,&quot;volume&quot;:&quot;8&quot;},&quot;isTemporary&quot;:false}],&quot;properties&quot;:{&quot;noteIndex&quot;:0},&quot;isEdited&quot;:false,&quot;manualOverride&quot;:{&quot;isManuallyOverriden&quot;:false,&quot;citeprocText&quot;:&quot;(Guo, 2020)&quot;,&quot;manualOverrideText&quot;:&quot;&quot;},&quot;citationTag&quot;:&quot;MENDELEY_CITATION_{\&quot;citationID\&quot;:\&quot;MENDELEY_CITATION_7e09cb8f-2fe2-4bdf-805e-f152afd8ed2a\&quot;,\&quot;citationItems\&quot;:[{\&quot;id\&quot;:\&quot;97b768e7-675f-3389-b720-bba2abefd6b9\&quot;,\&quot;itemData\&quot;:{\&quot;type\&quot;:\&quot;article-journal\&quot;,\&quot;id\&quot;:\&quot;97b768e7-675f-3389-b720-bba2abefd6b9\&quot;,\&quot;title\&quot;:\&quot;China’s “Fake News” Problem: Exploring the Spread of Online Rumors in the Government-Controlled News Media\&quot;,\&quot;author\&quot;:[{\&quot;family\&quot;:\&quot;Guo\&quot;,\&quot;given\&quot;:\&quot;Lei\&quot;,\&quot;parse-names\&quot;:false,\&quot;dropping-particle\&quot;:\&quot;\&quot;,\&quot;non-dropping-particle\&quot;:\&quot;\&quot;}],\&quot;container-title\&quot;:\&quot;Digital Journalism\&quot;,\&quot;DOI\&quot;:\&quot;10.1080/21670811.2020.1766986\&quot;,\&quot;ISSN\&quot;:\&quot;2167082X\&quot;,\&quot;issued\&quot;:{\&quot;date-parts\&quot;:[[2020,9,13]]},\&quot;page\&quot;:\&quot;992-1010\&quot;,\&quot;abstract\&quot;:\&quot;This study examines the “fake news” problem in China where the media environment is tightly controlled. Focusing on online rumors that are not politically sensitive, this article seeks to shed light on a commercialized dimension of China’s online media landscape in addition to a highly politicalized one that previous research has emphasized. Based on an intermedia agenda-setting analysis of the top ten rumors circulated on China’s Internet in 2016, this study demonstrates that although the government-controlled news websites challenged the rumors to a great extent, they also contributed to the perpetration of misinformation. Even the national official media advanced some rumors themselves and induced other media outlets to do so.\&quot;,\&quot;publisher\&quot;:\&quot;Routledge\&quot;,\&quot;issue\&quot;:\&quot;8\&quot;,\&quot;volume\&quot;:\&quot;8\&quot;},\&quot;isTemporary\&quot;:false}],\&quot;properties\&quot;:{\&quot;noteIndex\&quot;:0},\&quot;isEdited\&quot;:false,\&quot;manualOverride\&quot;:{\&quot;isManuallyOverriden\&quot;:false,\&quot;citeprocText\&quot;:\&quot;\&quot;,\&quot;manualOverrideText\&quot;:\&quot;\&quot;}}&quot;},{&quot;citationID&quot;:&quot;MENDELEY_CITATION_8821cfd1-68f4-4e9c-bd7a-e162e0ac2997&quot;,&quot;citationItems&quot;:[{&quot;id&quot;:&quot;2933c790-cc4f-3a6e-8511-ef044d2efdc8&quot;,&quot;itemData&quot;:{&quot;type&quot;:&quot;article-journal&quot;,&quot;id&quot;:&quot;2933c790-cc4f-3a6e-8511-ef044d2efdc8&quot;,&quot;title&quot;:&quot;Dealing with Ambiguities in Informings: Finnish Aijaa as a “Neutral” News Receipt&quot;,&quot;author&quot;:[{&quot;family&quot;:&quot;Koivisto&quot;,&quot;given&quot;:&quot;Aino&quot;,&quot;parse-names&quot;:false,&quot;dropping-particle&quot;:&quot;&quot;,&quot;non-dropping-particle&quot;:&quot;&quot;}],&quot;container-title&quot;:&quot;Research on Language and Social Interaction&quot;,&quot;DOI&quot;:&quot;10.1080/08351813.2015.1090109&quot;,&quot;ISSN&quot;:&quot;0835-1813&quot;,&quot;URL&quot;:&quot;https://doi.org/10.1080/08351813.2015.1090109&quot;,&quot;issued&quot;:{&quot;date-parts&quot;:[[2015,10,2]]},&quot;page&quot;:&quot;365-387&quot;,&quot;publisher&quot;:&quot;Routledge&quot;,&quot;issue&quot;:&quot;4&quot;,&quot;volume&quot;:&quot;48&quot;},&quot;isTemporary&quot;:false}],&quot;properties&quot;:{&quot;noteIndex&quot;:0},&quot;isEdited&quot;:false,&quot;manualOverride&quot;:{&quot;isManuallyOverriden&quot;:false,&quot;citeprocText&quot;:&quot;(Koivisto, 2015)&quot;,&quot;manualOverrideText&quot;:&quot;&quot;},&quot;citationTag&quot;:&quot;MENDELEY_CITATION_{\&quot;citationID\&quot;:\&quot;MENDELEY_CITATION_8821cfd1-68f4-4e9c-bd7a-e162e0ac2997\&quot;,\&quot;citationItems\&quot;:[{\&quot;id\&quot;:\&quot;2933c790-cc4f-3a6e-8511-ef044d2efdc8\&quot;,\&quot;itemData\&quot;:{\&quot;type\&quot;:\&quot;article-journal\&quot;,\&quot;id\&quot;:\&quot;2933c790-cc4f-3a6e-8511-ef044d2efdc8\&quot;,\&quot;title\&quot;:\&quot;Dealing with Ambiguities in Informings: Finnish Aijaa as a “Neutral” News Receipt\&quot;,\&quot;author\&quot;:[{\&quot;family\&quot;:\&quot;Koivisto\&quot;,\&quot;given\&quot;:\&quot;Aino\&quot;,\&quot;parse-names\&quot;:false,\&quot;dropping-particle\&quot;:\&quot;\&quot;,\&quot;non-dropping-particle\&quot;:\&quot;\&quot;}],\&quot;container-title\&quot;:\&quot;Research on Language and Social Interaction\&quot;,\&quot;DOI\&quot;:\&quot;10.1080/08351813.2015.1090109\&quot;,\&quot;ISSN\&quot;:\&quot;0835-1813\&quot;,\&quot;URL\&quot;:\&quot;https://doi.org/10.1080/08351813.2015.1090109\&quot;,\&quot;issued\&quot;:{\&quot;date-parts\&quot;:[[2015,10,2]]},\&quot;page\&quot;:\&quot;365-387\&quot;,\&quot;publisher\&quot;:\&quot;Routledge\&quot;,\&quot;issue\&quot;:\&quot;4\&quot;,\&quot;volume\&quot;:\&quot;48\&quot;},\&quot;isTemporary\&quot;:false}],\&quot;properties\&quot;:{\&quot;noteIndex\&quot;:0},\&quot;isEdited\&quot;:false,\&quot;manualOverride\&quot;:{\&quot;isManuallyOverriden\&quot;:false,\&quot;citeprocText\&quot;:\&quot;\&quot;,\&quot;manualOverrideText\&quot;:\&quot;\&quot;}}&quot;}]"/>
    <we:property name="MENDELEY_CITATIONS_STYLE" value="&quot;https://www.zotero.org/styles/apa&quot;"/>
    <we:property name="MENDELEY_PROFILE_ID" value="&quot;61bee9dd771f0a9b57970c254e931eeb3d63a1b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2E1A-E25A-466E-95D6-7B136A2A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14</Pages>
  <Words>11322</Words>
  <Characters>64542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75713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 Japar</cp:lastModifiedBy>
  <cp:revision>19</cp:revision>
  <cp:lastPrinted>2004-12-30T03:27:00Z</cp:lastPrinted>
  <dcterms:created xsi:type="dcterms:W3CDTF">2020-02-14T08:11:00Z</dcterms:created>
  <dcterms:modified xsi:type="dcterms:W3CDTF">2021-01-24T18:46:00Z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de7ebad6-6f28-38aa-9134-b03d67e41156</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Harvard - Cite Them Right 9th edition</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